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B1" w:rsidRPr="00A43B49" w:rsidRDefault="00A43B49" w:rsidP="00E17412">
      <w:pPr>
        <w:spacing w:after="0"/>
        <w:rPr>
          <w:rFonts w:ascii="Times New Roman" w:hAnsi="Times New Roman" w:cs="Times New Roman"/>
          <w:sz w:val="24"/>
          <w:szCs w:val="24"/>
          <w:lang w:val="de-DE"/>
        </w:rPr>
      </w:pPr>
      <w:r w:rsidRPr="00A43B49">
        <w:rPr>
          <w:rFonts w:ascii="Times New Roman" w:hAnsi="Times New Roman" w:cs="Times New Roman"/>
          <w:sz w:val="24"/>
          <w:szCs w:val="24"/>
          <w:lang w:val="de-DE"/>
        </w:rPr>
        <w:t>Sehr geehrter Kunde</w:t>
      </w:r>
      <w:r w:rsidR="005435B1" w:rsidRPr="00A43B49">
        <w:rPr>
          <w:rFonts w:ascii="Times New Roman" w:hAnsi="Times New Roman" w:cs="Times New Roman"/>
          <w:sz w:val="24"/>
          <w:szCs w:val="24"/>
          <w:lang w:val="de-DE"/>
        </w:rPr>
        <w:t>!</w:t>
      </w:r>
    </w:p>
    <w:p w:rsidR="005435B1" w:rsidRDefault="005435B1" w:rsidP="00E17412">
      <w:pPr>
        <w:spacing w:after="0"/>
        <w:rPr>
          <w:rFonts w:ascii="Times New Roman" w:hAnsi="Times New Roman" w:cs="Times New Roman"/>
          <w:sz w:val="24"/>
          <w:szCs w:val="24"/>
        </w:rPr>
      </w:pPr>
    </w:p>
    <w:p w:rsidR="005435B1" w:rsidRPr="000D4DE4" w:rsidRDefault="00452CCE" w:rsidP="00B9786A">
      <w:pPr>
        <w:spacing w:after="0"/>
        <w:jc w:val="both"/>
        <w:rPr>
          <w:rFonts w:ascii="Times New Roman" w:hAnsi="Times New Roman" w:cs="Times New Roman"/>
          <w:sz w:val="24"/>
          <w:szCs w:val="24"/>
          <w:lang w:val="de-DE"/>
        </w:rPr>
      </w:pPr>
      <w:r w:rsidRPr="000D4DE4">
        <w:rPr>
          <w:rFonts w:ascii="Times New Roman" w:hAnsi="Times New Roman" w:cs="Times New Roman"/>
          <w:sz w:val="24"/>
          <w:szCs w:val="24"/>
          <w:lang w:val="de-DE"/>
        </w:rPr>
        <w:t xml:space="preserve">Die </w:t>
      </w:r>
      <w:r w:rsidR="000D4DE4" w:rsidRPr="000D4DE4">
        <w:rPr>
          <w:rFonts w:ascii="Times New Roman" w:hAnsi="Times New Roman" w:cs="Times New Roman"/>
          <w:sz w:val="24"/>
          <w:szCs w:val="24"/>
          <w:lang w:val="de-DE"/>
        </w:rPr>
        <w:t>Änderungen der</w:t>
      </w:r>
      <w:r w:rsidRPr="000D4DE4">
        <w:rPr>
          <w:rFonts w:ascii="Times New Roman" w:hAnsi="Times New Roman" w:cs="Times New Roman"/>
          <w:sz w:val="24"/>
          <w:szCs w:val="24"/>
          <w:lang w:val="de-DE"/>
        </w:rPr>
        <w:t xml:space="preserve"> Allgemeinen Vertragsbedingungen </w:t>
      </w:r>
      <w:r w:rsidR="000D4DE4" w:rsidRPr="000D4DE4">
        <w:rPr>
          <w:rFonts w:ascii="Times New Roman" w:hAnsi="Times New Roman" w:cs="Times New Roman"/>
          <w:sz w:val="24"/>
          <w:szCs w:val="24"/>
          <w:lang w:val="de-DE"/>
        </w:rPr>
        <w:t xml:space="preserve">(AVB) von </w:t>
      </w:r>
      <w:r w:rsidR="005435B1" w:rsidRPr="000D4DE4">
        <w:rPr>
          <w:rFonts w:ascii="Times New Roman" w:hAnsi="Times New Roman" w:cs="Times New Roman"/>
          <w:sz w:val="24"/>
          <w:szCs w:val="24"/>
          <w:lang w:val="de-DE"/>
        </w:rPr>
        <w:t xml:space="preserve">ROYAL SPED </w:t>
      </w:r>
      <w:proofErr w:type="spellStart"/>
      <w:r w:rsidR="005435B1" w:rsidRPr="000D4DE4">
        <w:rPr>
          <w:rFonts w:ascii="Times New Roman" w:hAnsi="Times New Roman" w:cs="Times New Roman"/>
          <w:sz w:val="24"/>
          <w:szCs w:val="24"/>
          <w:lang w:val="de-DE"/>
        </w:rPr>
        <w:t>Szállítmányozói</w:t>
      </w:r>
      <w:proofErr w:type="spellEnd"/>
      <w:r w:rsidR="005435B1" w:rsidRPr="000D4DE4">
        <w:rPr>
          <w:rFonts w:ascii="Times New Roman" w:hAnsi="Times New Roman" w:cs="Times New Roman"/>
          <w:sz w:val="24"/>
          <w:szCs w:val="24"/>
          <w:lang w:val="de-DE"/>
        </w:rPr>
        <w:t xml:space="preserve"> </w:t>
      </w:r>
      <w:proofErr w:type="spellStart"/>
      <w:r w:rsidR="005435B1" w:rsidRPr="000D4DE4">
        <w:rPr>
          <w:rFonts w:ascii="Times New Roman" w:hAnsi="Times New Roman" w:cs="Times New Roman"/>
          <w:sz w:val="24"/>
          <w:szCs w:val="24"/>
          <w:lang w:val="de-DE"/>
        </w:rPr>
        <w:t>Zrt</w:t>
      </w:r>
      <w:proofErr w:type="spellEnd"/>
      <w:r w:rsidR="005435B1" w:rsidRPr="000D4DE4">
        <w:rPr>
          <w:rFonts w:ascii="Times New Roman" w:hAnsi="Times New Roman" w:cs="Times New Roman"/>
          <w:sz w:val="24"/>
          <w:szCs w:val="24"/>
          <w:lang w:val="de-DE"/>
        </w:rPr>
        <w:t>.</w:t>
      </w:r>
      <w:r w:rsidR="000D4DE4" w:rsidRPr="000D4DE4">
        <w:rPr>
          <w:rFonts w:ascii="Times New Roman" w:hAnsi="Times New Roman" w:cs="Times New Roman"/>
          <w:sz w:val="24"/>
          <w:szCs w:val="24"/>
          <w:lang w:val="de-DE"/>
        </w:rPr>
        <w:t xml:space="preserve">, die am 1. Januar 2018 in Kraft treten sind in der folgenden Tabelle zusammengefasst: </w:t>
      </w:r>
      <w:r w:rsidR="005435B1" w:rsidRPr="000D4DE4">
        <w:rPr>
          <w:rFonts w:ascii="Times New Roman" w:hAnsi="Times New Roman" w:cs="Times New Roman"/>
          <w:sz w:val="24"/>
          <w:szCs w:val="24"/>
          <w:lang w:val="de-DE"/>
        </w:rPr>
        <w:t xml:space="preserve"> </w:t>
      </w:r>
    </w:p>
    <w:p w:rsidR="00E17412" w:rsidRDefault="00E17412" w:rsidP="00E17412">
      <w:pPr>
        <w:spacing w:after="0"/>
        <w:rPr>
          <w:rFonts w:ascii="Times New Roman" w:hAnsi="Times New Roman" w:cs="Times New Roman"/>
          <w:sz w:val="24"/>
          <w:szCs w:val="24"/>
        </w:rPr>
      </w:pPr>
    </w:p>
    <w:tbl>
      <w:tblPr>
        <w:tblStyle w:val="Rcsostblzat"/>
        <w:tblW w:w="9679" w:type="dxa"/>
        <w:tblInd w:w="-113" w:type="dxa"/>
        <w:tblCellMar>
          <w:left w:w="0" w:type="dxa"/>
          <w:right w:w="0" w:type="dxa"/>
        </w:tblCellMar>
        <w:tblLook w:val="04A0" w:firstRow="1" w:lastRow="0" w:firstColumn="1" w:lastColumn="0" w:noHBand="0" w:noVBand="1"/>
      </w:tblPr>
      <w:tblGrid>
        <w:gridCol w:w="675"/>
        <w:gridCol w:w="2291"/>
        <w:gridCol w:w="2387"/>
        <w:gridCol w:w="4326"/>
      </w:tblGrid>
      <w:tr w:rsidR="008C5808" w:rsidRPr="004569C6" w:rsidTr="00130085">
        <w:trPr>
          <w:trHeight w:val="451"/>
        </w:trPr>
        <w:tc>
          <w:tcPr>
            <w:tcW w:w="675" w:type="dxa"/>
            <w:vAlign w:val="center"/>
          </w:tcPr>
          <w:p w:rsidR="002D6C62" w:rsidRPr="004569C6" w:rsidRDefault="002D6C62" w:rsidP="00E17412">
            <w:pPr>
              <w:ind w:left="-255" w:right="139"/>
              <w:jc w:val="center"/>
              <w:rPr>
                <w:rFonts w:ascii="Times New Roman" w:hAnsi="Times New Roman" w:cs="Times New Roman"/>
                <w:b/>
                <w:sz w:val="24"/>
                <w:szCs w:val="24"/>
              </w:rPr>
            </w:pPr>
          </w:p>
        </w:tc>
        <w:tc>
          <w:tcPr>
            <w:tcW w:w="2291" w:type="dxa"/>
            <w:vAlign w:val="center"/>
          </w:tcPr>
          <w:p w:rsidR="002D6C62" w:rsidRPr="00A43B49" w:rsidRDefault="00A43B49" w:rsidP="00A43B49">
            <w:pPr>
              <w:jc w:val="center"/>
              <w:rPr>
                <w:rFonts w:ascii="Times New Roman" w:hAnsi="Times New Roman" w:cs="Times New Roman"/>
                <w:b/>
                <w:sz w:val="24"/>
                <w:szCs w:val="24"/>
                <w:lang w:val="de-DE"/>
              </w:rPr>
            </w:pPr>
            <w:r w:rsidRPr="00A43B49">
              <w:rPr>
                <w:rFonts w:ascii="Times New Roman" w:hAnsi="Times New Roman" w:cs="Times New Roman"/>
                <w:b/>
                <w:sz w:val="24"/>
                <w:szCs w:val="24"/>
                <w:lang w:val="de-DE"/>
              </w:rPr>
              <w:t>Geänderter Punkt</w:t>
            </w:r>
          </w:p>
        </w:tc>
        <w:tc>
          <w:tcPr>
            <w:tcW w:w="2387" w:type="dxa"/>
            <w:vAlign w:val="center"/>
          </w:tcPr>
          <w:p w:rsidR="002D6C62" w:rsidRPr="00A43B49" w:rsidRDefault="00A43B49" w:rsidP="00A43B49">
            <w:pPr>
              <w:jc w:val="center"/>
              <w:rPr>
                <w:rFonts w:ascii="Times New Roman" w:hAnsi="Times New Roman" w:cs="Times New Roman"/>
                <w:b/>
                <w:sz w:val="24"/>
                <w:szCs w:val="24"/>
                <w:lang w:val="de-DE"/>
              </w:rPr>
            </w:pPr>
            <w:r w:rsidRPr="00A43B49">
              <w:rPr>
                <w:rFonts w:ascii="Times New Roman" w:hAnsi="Times New Roman" w:cs="Times New Roman"/>
                <w:b/>
                <w:sz w:val="24"/>
                <w:szCs w:val="24"/>
                <w:lang w:val="de-DE"/>
              </w:rPr>
              <w:t>Ur</w:t>
            </w:r>
            <w:r>
              <w:rPr>
                <w:rFonts w:ascii="Times New Roman" w:hAnsi="Times New Roman" w:cs="Times New Roman"/>
                <w:b/>
                <w:sz w:val="24"/>
                <w:szCs w:val="24"/>
                <w:lang w:val="de-DE"/>
              </w:rPr>
              <w:t>s</w:t>
            </w:r>
            <w:r w:rsidRPr="00A43B49">
              <w:rPr>
                <w:rFonts w:ascii="Times New Roman" w:hAnsi="Times New Roman" w:cs="Times New Roman"/>
                <w:b/>
                <w:sz w:val="24"/>
                <w:szCs w:val="24"/>
                <w:lang w:val="de-DE"/>
              </w:rPr>
              <w:t>prünglicher Text</w:t>
            </w:r>
          </w:p>
        </w:tc>
        <w:tc>
          <w:tcPr>
            <w:tcW w:w="4326" w:type="dxa"/>
            <w:vAlign w:val="center"/>
          </w:tcPr>
          <w:p w:rsidR="002D6C62" w:rsidRPr="00A43B49" w:rsidRDefault="00A43B49" w:rsidP="00A43B49">
            <w:pPr>
              <w:jc w:val="center"/>
              <w:rPr>
                <w:rFonts w:ascii="Times New Roman" w:hAnsi="Times New Roman" w:cs="Times New Roman"/>
                <w:b/>
                <w:sz w:val="24"/>
                <w:szCs w:val="24"/>
                <w:lang w:val="de-DE"/>
              </w:rPr>
            </w:pPr>
            <w:r w:rsidRPr="00A43B49">
              <w:rPr>
                <w:rFonts w:ascii="Times New Roman" w:hAnsi="Times New Roman" w:cs="Times New Roman"/>
                <w:b/>
                <w:sz w:val="24"/>
                <w:szCs w:val="24"/>
                <w:lang w:val="de-DE"/>
              </w:rPr>
              <w:t>Änderung</w:t>
            </w: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596BFD">
            <w:pPr>
              <w:rPr>
                <w:rFonts w:ascii="Times New Roman" w:hAnsi="Times New Roman" w:cs="Times New Roman"/>
                <w:sz w:val="24"/>
                <w:szCs w:val="24"/>
              </w:rPr>
            </w:pPr>
            <w:proofErr w:type="spellStart"/>
            <w:r>
              <w:rPr>
                <w:rFonts w:ascii="Times New Roman" w:hAnsi="Times New Roman" w:cs="Times New Roman"/>
                <w:sz w:val="24"/>
                <w:szCs w:val="24"/>
              </w:rPr>
              <w:t>Inkrafttreten</w:t>
            </w:r>
            <w:proofErr w:type="spellEnd"/>
          </w:p>
        </w:tc>
        <w:tc>
          <w:tcPr>
            <w:tcW w:w="2387" w:type="dxa"/>
          </w:tcPr>
          <w:p w:rsidR="002D6C62" w:rsidRDefault="00E17412" w:rsidP="00596BFD">
            <w:pPr>
              <w:rPr>
                <w:rFonts w:ascii="Times New Roman" w:hAnsi="Times New Roman" w:cs="Times New Roman"/>
                <w:sz w:val="24"/>
                <w:szCs w:val="24"/>
              </w:rPr>
            </w:pPr>
            <w:r>
              <w:rPr>
                <w:rFonts w:ascii="Times New Roman" w:hAnsi="Times New Roman" w:cs="Times New Roman"/>
                <w:sz w:val="24"/>
                <w:szCs w:val="24"/>
              </w:rPr>
              <w:t>„</w:t>
            </w:r>
            <w:r w:rsidR="00596BFD">
              <w:rPr>
                <w:rFonts w:ascii="Times New Roman" w:hAnsi="Times New Roman" w:cs="Times New Roman"/>
                <w:sz w:val="24"/>
                <w:szCs w:val="24"/>
              </w:rPr>
              <w:t xml:space="preserve">1. </w:t>
            </w:r>
            <w:proofErr w:type="spellStart"/>
            <w:r w:rsidR="00596BFD">
              <w:rPr>
                <w:rFonts w:ascii="Times New Roman" w:hAnsi="Times New Roman" w:cs="Times New Roman"/>
                <w:sz w:val="24"/>
                <w:szCs w:val="24"/>
              </w:rPr>
              <w:t>Juni</w:t>
            </w:r>
            <w:proofErr w:type="spellEnd"/>
            <w:r w:rsidR="00596BFD">
              <w:rPr>
                <w:rFonts w:ascii="Times New Roman" w:hAnsi="Times New Roman" w:cs="Times New Roman"/>
                <w:sz w:val="24"/>
                <w:szCs w:val="24"/>
              </w:rPr>
              <w:t xml:space="preserve"> </w:t>
            </w:r>
            <w:r w:rsidR="002D6C62">
              <w:rPr>
                <w:rFonts w:ascii="Times New Roman" w:hAnsi="Times New Roman" w:cs="Times New Roman"/>
                <w:sz w:val="24"/>
                <w:szCs w:val="24"/>
              </w:rPr>
              <w:t>2017</w:t>
            </w:r>
            <w:r>
              <w:rPr>
                <w:rFonts w:ascii="Times New Roman" w:hAnsi="Times New Roman" w:cs="Times New Roman"/>
                <w:sz w:val="24"/>
                <w:szCs w:val="24"/>
              </w:rPr>
              <w:t>”</w:t>
            </w:r>
          </w:p>
        </w:tc>
        <w:tc>
          <w:tcPr>
            <w:tcW w:w="4326" w:type="dxa"/>
          </w:tcPr>
          <w:p w:rsidR="002D6C62" w:rsidRDefault="00E17412" w:rsidP="00596BFD">
            <w:pPr>
              <w:rPr>
                <w:rFonts w:ascii="Times New Roman" w:hAnsi="Times New Roman" w:cs="Times New Roman"/>
                <w:sz w:val="24"/>
                <w:szCs w:val="24"/>
              </w:rPr>
            </w:pPr>
            <w:r>
              <w:rPr>
                <w:rFonts w:ascii="Times New Roman" w:hAnsi="Times New Roman" w:cs="Times New Roman"/>
                <w:sz w:val="24"/>
                <w:szCs w:val="24"/>
              </w:rPr>
              <w:t>„</w:t>
            </w:r>
            <w:r w:rsidR="00596BFD">
              <w:rPr>
                <w:rFonts w:ascii="Times New Roman" w:hAnsi="Times New Roman" w:cs="Times New Roman"/>
                <w:sz w:val="24"/>
                <w:szCs w:val="24"/>
              </w:rPr>
              <w:t xml:space="preserve">1. </w:t>
            </w:r>
            <w:proofErr w:type="spellStart"/>
            <w:r w:rsidR="00596BFD">
              <w:rPr>
                <w:rFonts w:ascii="Times New Roman" w:hAnsi="Times New Roman" w:cs="Times New Roman"/>
                <w:sz w:val="24"/>
                <w:szCs w:val="24"/>
              </w:rPr>
              <w:t>Januar</w:t>
            </w:r>
            <w:proofErr w:type="spellEnd"/>
            <w:r w:rsidR="00596BFD">
              <w:rPr>
                <w:rFonts w:ascii="Times New Roman" w:hAnsi="Times New Roman" w:cs="Times New Roman"/>
                <w:sz w:val="24"/>
                <w:szCs w:val="24"/>
              </w:rPr>
              <w:t xml:space="preserve"> </w:t>
            </w:r>
            <w:r w:rsidR="002D6C62">
              <w:rPr>
                <w:rFonts w:ascii="Times New Roman" w:hAnsi="Times New Roman" w:cs="Times New Roman"/>
                <w:sz w:val="24"/>
                <w:szCs w:val="24"/>
              </w:rPr>
              <w:t>2018</w:t>
            </w:r>
            <w:r>
              <w:rPr>
                <w:rFonts w:ascii="Times New Roman" w:hAnsi="Times New Roman" w:cs="Times New Roman"/>
                <w:sz w:val="24"/>
                <w:szCs w:val="24"/>
              </w:rPr>
              <w:t>”</w:t>
            </w:r>
          </w:p>
        </w:tc>
      </w:tr>
      <w:tr w:rsidR="008C5808" w:rsidTr="00130085">
        <w:tc>
          <w:tcPr>
            <w:tcW w:w="675" w:type="dxa"/>
          </w:tcPr>
          <w:p w:rsidR="002F0B91" w:rsidRPr="004569C6" w:rsidRDefault="002F0B91" w:rsidP="004569C6">
            <w:pPr>
              <w:pStyle w:val="Listaszerbekezds"/>
              <w:numPr>
                <w:ilvl w:val="0"/>
                <w:numId w:val="5"/>
              </w:numPr>
              <w:ind w:right="139"/>
              <w:rPr>
                <w:rFonts w:ascii="Times New Roman" w:hAnsi="Times New Roman" w:cs="Times New Roman"/>
                <w:sz w:val="24"/>
                <w:szCs w:val="24"/>
              </w:rPr>
            </w:pPr>
          </w:p>
        </w:tc>
        <w:tc>
          <w:tcPr>
            <w:tcW w:w="2291" w:type="dxa"/>
          </w:tcPr>
          <w:p w:rsidR="002F0B91" w:rsidRDefault="002F0B91">
            <w:pPr>
              <w:rPr>
                <w:rFonts w:ascii="Times New Roman" w:hAnsi="Times New Roman" w:cs="Times New Roman"/>
                <w:sz w:val="24"/>
                <w:szCs w:val="24"/>
              </w:rPr>
            </w:pPr>
            <w:r>
              <w:rPr>
                <w:rFonts w:ascii="Times New Roman" w:hAnsi="Times New Roman" w:cs="Times New Roman"/>
                <w:sz w:val="24"/>
                <w:szCs w:val="24"/>
              </w:rPr>
              <w:t>II/1.</w:t>
            </w:r>
          </w:p>
        </w:tc>
        <w:tc>
          <w:tcPr>
            <w:tcW w:w="2387" w:type="dxa"/>
          </w:tcPr>
          <w:p w:rsidR="002F0B91" w:rsidRDefault="002F0B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Authorized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Organization …</w:t>
            </w:r>
            <w:proofErr w:type="gramEnd"/>
            <w:r>
              <w:rPr>
                <w:rFonts w:ascii="Times New Roman" w:hAnsi="Times New Roman" w:cs="Times New Roman"/>
                <w:sz w:val="24"/>
                <w:szCs w:val="24"/>
              </w:rPr>
              <w:t>)</w:t>
            </w:r>
          </w:p>
        </w:tc>
        <w:tc>
          <w:tcPr>
            <w:tcW w:w="4326" w:type="dxa"/>
          </w:tcPr>
          <w:p w:rsidR="002F0B91" w:rsidRDefault="002F0B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Authorized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Operator …</w:t>
            </w:r>
            <w:proofErr w:type="gramEnd"/>
            <w:r>
              <w:rPr>
                <w:rFonts w:ascii="Times New Roman" w:hAnsi="Times New Roman" w:cs="Times New Roman"/>
                <w:sz w:val="24"/>
                <w:szCs w:val="24"/>
              </w:rPr>
              <w:t>”</w:t>
            </w:r>
          </w:p>
        </w:tc>
      </w:tr>
      <w:tr w:rsidR="00EF428C" w:rsidTr="00130085">
        <w:tc>
          <w:tcPr>
            <w:tcW w:w="675" w:type="dxa"/>
          </w:tcPr>
          <w:p w:rsidR="00EF428C" w:rsidRPr="004569C6" w:rsidRDefault="00EF428C" w:rsidP="004569C6">
            <w:pPr>
              <w:pStyle w:val="Listaszerbekezds"/>
              <w:numPr>
                <w:ilvl w:val="0"/>
                <w:numId w:val="5"/>
              </w:numPr>
              <w:ind w:right="139"/>
              <w:rPr>
                <w:rFonts w:ascii="Times New Roman" w:hAnsi="Times New Roman" w:cs="Times New Roman"/>
                <w:sz w:val="24"/>
                <w:szCs w:val="24"/>
              </w:rPr>
            </w:pPr>
          </w:p>
        </w:tc>
        <w:tc>
          <w:tcPr>
            <w:tcW w:w="2291" w:type="dxa"/>
          </w:tcPr>
          <w:p w:rsidR="00EF428C" w:rsidRDefault="00412B32">
            <w:pPr>
              <w:rPr>
                <w:rFonts w:ascii="Times New Roman" w:hAnsi="Times New Roman" w:cs="Times New Roman"/>
                <w:sz w:val="24"/>
                <w:szCs w:val="24"/>
              </w:rPr>
            </w:pPr>
            <w:r>
              <w:rPr>
                <w:rFonts w:ascii="Times New Roman" w:hAnsi="Times New Roman" w:cs="Times New Roman"/>
                <w:sz w:val="24"/>
                <w:szCs w:val="24"/>
              </w:rPr>
              <w:t>II/4.</w:t>
            </w:r>
          </w:p>
        </w:tc>
        <w:tc>
          <w:tcPr>
            <w:tcW w:w="2387" w:type="dxa"/>
          </w:tcPr>
          <w:p w:rsidR="00EF428C" w:rsidRDefault="00412B32">
            <w:pPr>
              <w:rPr>
                <w:rFonts w:ascii="Times New Roman" w:hAnsi="Times New Roman" w:cs="Times New Roman"/>
                <w:sz w:val="24"/>
                <w:szCs w:val="24"/>
              </w:rPr>
            </w:pPr>
            <w:r>
              <w:rPr>
                <w:rFonts w:ascii="Times New Roman" w:hAnsi="Times New Roman" w:cs="Times New Roman"/>
                <w:sz w:val="24"/>
                <w:szCs w:val="24"/>
              </w:rPr>
              <w:t>„…</w:t>
            </w:r>
            <w:hyperlink r:id="rId5" w:history="1">
              <w:r w:rsidRPr="00A10EC5">
                <w:rPr>
                  <w:rStyle w:val="Hiperhivatkozs"/>
                  <w:rFonts w:ascii="Times New Roman" w:hAnsi="Times New Roman" w:cs="Times New Roman"/>
                  <w:sz w:val="24"/>
                  <w:szCs w:val="24"/>
                </w:rPr>
                <w:t>www.royalsped.hu</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oder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diesen</w:t>
            </w:r>
            <w:proofErr w:type="spellEnd"/>
            <w:r>
              <w:rPr>
                <w:rFonts w:ascii="Times New Roman" w:hAnsi="Times New Roman" w:cs="Times New Roman"/>
                <w:sz w:val="24"/>
                <w:szCs w:val="24"/>
              </w:rPr>
              <w:t xml:space="preserve"> Link </w:t>
            </w:r>
            <w:proofErr w:type="spellStart"/>
            <w:r>
              <w:rPr>
                <w:rFonts w:ascii="Times New Roman" w:hAnsi="Times New Roman" w:cs="Times New Roman"/>
                <w:sz w:val="24"/>
                <w:szCs w:val="24"/>
              </w:rPr>
              <w:t>versetzend</w:t>
            </w:r>
            <w:proofErr w:type="spellEnd"/>
            <w:r>
              <w:rPr>
                <w:rFonts w:ascii="Times New Roman" w:hAnsi="Times New Roman" w:cs="Times New Roman"/>
                <w:sz w:val="24"/>
                <w:szCs w:val="24"/>
              </w:rPr>
              <w:t>…”</w:t>
            </w:r>
          </w:p>
        </w:tc>
        <w:tc>
          <w:tcPr>
            <w:tcW w:w="4326" w:type="dxa"/>
          </w:tcPr>
          <w:p w:rsidR="00EF428C" w:rsidRDefault="00412B32">
            <w:pPr>
              <w:rPr>
                <w:rFonts w:ascii="Times New Roman" w:hAnsi="Times New Roman" w:cs="Times New Roman"/>
                <w:sz w:val="24"/>
                <w:szCs w:val="24"/>
              </w:rPr>
            </w:pPr>
            <w:proofErr w:type="spellStart"/>
            <w:r>
              <w:rPr>
                <w:rFonts w:ascii="Times New Roman" w:hAnsi="Times New Roman" w:cs="Times New Roman"/>
                <w:sz w:val="24"/>
                <w:szCs w:val="24"/>
              </w:rPr>
              <w:t>gelöscht</w:t>
            </w:r>
            <w:proofErr w:type="spellEnd"/>
          </w:p>
        </w:tc>
      </w:tr>
      <w:tr w:rsidR="00EF428C" w:rsidTr="00130085">
        <w:tc>
          <w:tcPr>
            <w:tcW w:w="675" w:type="dxa"/>
          </w:tcPr>
          <w:p w:rsidR="00EF428C" w:rsidRPr="004569C6" w:rsidRDefault="00EF428C" w:rsidP="004569C6">
            <w:pPr>
              <w:pStyle w:val="Listaszerbekezds"/>
              <w:numPr>
                <w:ilvl w:val="0"/>
                <w:numId w:val="5"/>
              </w:numPr>
              <w:ind w:right="139"/>
              <w:rPr>
                <w:rFonts w:ascii="Times New Roman" w:hAnsi="Times New Roman" w:cs="Times New Roman"/>
                <w:sz w:val="24"/>
                <w:szCs w:val="24"/>
              </w:rPr>
            </w:pPr>
          </w:p>
        </w:tc>
        <w:tc>
          <w:tcPr>
            <w:tcW w:w="2291" w:type="dxa"/>
          </w:tcPr>
          <w:p w:rsidR="00EF428C" w:rsidRDefault="00412B32">
            <w:pPr>
              <w:rPr>
                <w:rFonts w:ascii="Times New Roman" w:hAnsi="Times New Roman" w:cs="Times New Roman"/>
                <w:sz w:val="24"/>
                <w:szCs w:val="24"/>
              </w:rPr>
            </w:pPr>
            <w:r>
              <w:rPr>
                <w:rFonts w:ascii="Times New Roman" w:hAnsi="Times New Roman" w:cs="Times New Roman"/>
                <w:sz w:val="24"/>
                <w:szCs w:val="24"/>
              </w:rPr>
              <w:t>II/6.</w:t>
            </w:r>
          </w:p>
        </w:tc>
        <w:tc>
          <w:tcPr>
            <w:tcW w:w="2387" w:type="dxa"/>
          </w:tcPr>
          <w:p w:rsidR="00EF428C" w:rsidRDefault="00412B32">
            <w:pPr>
              <w:rPr>
                <w:rFonts w:ascii="Times New Roman" w:hAnsi="Times New Roman" w:cs="Times New Roman"/>
                <w:sz w:val="24"/>
                <w:szCs w:val="24"/>
              </w:rPr>
            </w:pPr>
            <w:r>
              <w:rPr>
                <w:rFonts w:ascii="Times New Roman" w:hAnsi="Times New Roman" w:cs="Times New Roman"/>
                <w:sz w:val="24"/>
                <w:szCs w:val="24"/>
              </w:rPr>
              <w:t>„…</w:t>
            </w:r>
            <w:hyperlink r:id="rId6" w:history="1">
              <w:r w:rsidRPr="00A10EC5">
                <w:rPr>
                  <w:rStyle w:val="Hiperhivatkozs"/>
                  <w:rFonts w:ascii="Times New Roman" w:hAnsi="Times New Roman" w:cs="Times New Roman"/>
                  <w:sz w:val="24"/>
                  <w:szCs w:val="24"/>
                </w:rPr>
                <w:t>www.royalsped.hu</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bzw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diesen</w:t>
            </w:r>
            <w:proofErr w:type="spellEnd"/>
            <w:r>
              <w:rPr>
                <w:rFonts w:ascii="Times New Roman" w:hAnsi="Times New Roman" w:cs="Times New Roman"/>
                <w:sz w:val="24"/>
                <w:szCs w:val="24"/>
              </w:rPr>
              <w:t xml:space="preserve"> Link </w:t>
            </w:r>
            <w:proofErr w:type="spellStart"/>
            <w:r>
              <w:rPr>
                <w:rFonts w:ascii="Times New Roman" w:hAnsi="Times New Roman" w:cs="Times New Roman"/>
                <w:sz w:val="24"/>
                <w:szCs w:val="24"/>
              </w:rPr>
              <w:t>versetzend</w:t>
            </w:r>
            <w:proofErr w:type="spellEnd"/>
            <w:r>
              <w:rPr>
                <w:rFonts w:ascii="Times New Roman" w:hAnsi="Times New Roman" w:cs="Times New Roman"/>
                <w:sz w:val="24"/>
                <w:szCs w:val="24"/>
              </w:rPr>
              <w:t>…”</w:t>
            </w:r>
          </w:p>
        </w:tc>
        <w:tc>
          <w:tcPr>
            <w:tcW w:w="4326" w:type="dxa"/>
          </w:tcPr>
          <w:p w:rsidR="00EF428C" w:rsidRDefault="00412B32">
            <w:pPr>
              <w:rPr>
                <w:rFonts w:ascii="Times New Roman" w:hAnsi="Times New Roman" w:cs="Times New Roman"/>
                <w:sz w:val="24"/>
                <w:szCs w:val="24"/>
              </w:rPr>
            </w:pPr>
            <w:proofErr w:type="spellStart"/>
            <w:r>
              <w:rPr>
                <w:rFonts w:ascii="Times New Roman" w:hAnsi="Times New Roman" w:cs="Times New Roman"/>
                <w:sz w:val="24"/>
                <w:szCs w:val="24"/>
              </w:rPr>
              <w:t>gelöscht</w:t>
            </w:r>
            <w:proofErr w:type="spellEnd"/>
          </w:p>
        </w:tc>
      </w:tr>
      <w:tr w:rsidR="008C5808" w:rsidTr="00130085">
        <w:tc>
          <w:tcPr>
            <w:tcW w:w="675" w:type="dxa"/>
          </w:tcPr>
          <w:p w:rsidR="002B7585" w:rsidRPr="004569C6" w:rsidRDefault="002B7585" w:rsidP="004569C6">
            <w:pPr>
              <w:pStyle w:val="Listaszerbekezds"/>
              <w:numPr>
                <w:ilvl w:val="0"/>
                <w:numId w:val="5"/>
              </w:numPr>
              <w:ind w:right="139"/>
              <w:rPr>
                <w:rFonts w:ascii="Times New Roman" w:hAnsi="Times New Roman" w:cs="Times New Roman"/>
                <w:sz w:val="24"/>
                <w:szCs w:val="24"/>
              </w:rPr>
            </w:pPr>
          </w:p>
        </w:tc>
        <w:tc>
          <w:tcPr>
            <w:tcW w:w="2291" w:type="dxa"/>
          </w:tcPr>
          <w:p w:rsidR="002B7585" w:rsidRDefault="002B7585" w:rsidP="008C5808">
            <w:pP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8C5808">
              <w:rPr>
                <w:rFonts w:ascii="Times New Roman" w:hAnsi="Times New Roman" w:cs="Times New Roman"/>
                <w:sz w:val="24"/>
                <w:szCs w:val="24"/>
              </w:rPr>
              <w:t>Daten</w:t>
            </w:r>
            <w:proofErr w:type="spellEnd"/>
            <w:r w:rsidR="008C5808">
              <w:rPr>
                <w:rFonts w:ascii="Times New Roman" w:hAnsi="Times New Roman" w:cs="Times New Roman"/>
                <w:sz w:val="24"/>
                <w:szCs w:val="24"/>
              </w:rPr>
              <w:t xml:space="preserve"> des AUFTRAGNEHMERS</w:t>
            </w:r>
          </w:p>
        </w:tc>
        <w:tc>
          <w:tcPr>
            <w:tcW w:w="2387" w:type="dxa"/>
          </w:tcPr>
          <w:p w:rsidR="002B7585" w:rsidRDefault="001F0462" w:rsidP="008C5808">
            <w:pPr>
              <w:spacing w:after="200" w:line="276" w:lineRule="auto"/>
              <w:jc w:val="both"/>
              <w:rPr>
                <w:rFonts w:ascii="Times New Roman" w:hAnsi="Times New Roman" w:cs="Times New Roman"/>
                <w:sz w:val="24"/>
                <w:szCs w:val="24"/>
              </w:rPr>
            </w:pPr>
            <w:r w:rsidRPr="008C5808">
              <w:rPr>
                <w:rFonts w:ascii="Times New Roman" w:hAnsi="Times New Roman" w:cs="Times New Roman"/>
                <w:sz w:val="24"/>
                <w:szCs w:val="24"/>
              </w:rPr>
              <w:t>„</w:t>
            </w:r>
            <w:proofErr w:type="spellStart"/>
            <w:r w:rsidR="008C5808" w:rsidRPr="008C5808">
              <w:rPr>
                <w:rFonts w:ascii="Times New Roman" w:eastAsia="Calibri" w:hAnsi="Times New Roman" w:cs="Times New Roman"/>
                <w:sz w:val="24"/>
                <w:szCs w:val="24"/>
              </w:rPr>
              <w:t>Sitz</w:t>
            </w:r>
            <w:proofErr w:type="spellEnd"/>
            <w:r w:rsidR="008C5808" w:rsidRPr="008C5808">
              <w:rPr>
                <w:rFonts w:ascii="Times New Roman" w:eastAsia="Calibri" w:hAnsi="Times New Roman" w:cs="Times New Roman"/>
                <w:sz w:val="24"/>
                <w:szCs w:val="24"/>
              </w:rPr>
              <w:t>:</w:t>
            </w:r>
            <w:r w:rsidR="008C5808">
              <w:rPr>
                <w:rFonts w:ascii="Times New Roman" w:eastAsia="Calibri" w:hAnsi="Times New Roman" w:cs="Times New Roman"/>
                <w:sz w:val="24"/>
                <w:szCs w:val="24"/>
              </w:rPr>
              <w:t xml:space="preserve"> </w:t>
            </w:r>
            <w:r w:rsidR="008C5808" w:rsidRPr="008C5808">
              <w:rPr>
                <w:rFonts w:ascii="Times New Roman" w:eastAsia="Calibri" w:hAnsi="Times New Roman" w:cs="Times New Roman"/>
                <w:sz w:val="24"/>
                <w:szCs w:val="24"/>
              </w:rPr>
              <w:t>1239 Budapest, Európa u. 6. B1 épület 1. em. 111.</w:t>
            </w:r>
            <w:r w:rsidR="008C5808">
              <w:rPr>
                <w:rFonts w:ascii="Times New Roman" w:eastAsia="Calibri" w:hAnsi="Times New Roman" w:cs="Times New Roman"/>
                <w:sz w:val="24"/>
                <w:szCs w:val="24"/>
              </w:rPr>
              <w:t>”</w:t>
            </w:r>
          </w:p>
        </w:tc>
        <w:tc>
          <w:tcPr>
            <w:tcW w:w="4326" w:type="dxa"/>
          </w:tcPr>
          <w:p w:rsidR="002B7585" w:rsidRPr="008C5808" w:rsidRDefault="001F0462" w:rsidP="008C5808">
            <w:pPr>
              <w:spacing w:after="200" w:line="276" w:lineRule="auto"/>
              <w:jc w:val="both"/>
              <w:rPr>
                <w:rFonts w:ascii="Times New Roman" w:eastAsia="Calibri" w:hAnsi="Times New Roman" w:cs="Times New Roman"/>
                <w:sz w:val="24"/>
                <w:szCs w:val="24"/>
                <w:lang w:val="de-DE"/>
              </w:rPr>
            </w:pPr>
            <w:r w:rsidRPr="008C5808">
              <w:rPr>
                <w:rFonts w:ascii="Times New Roman" w:hAnsi="Times New Roman" w:cs="Times New Roman"/>
                <w:sz w:val="24"/>
                <w:szCs w:val="24"/>
              </w:rPr>
              <w:t>„</w:t>
            </w:r>
            <w:r w:rsidR="008C5808" w:rsidRPr="008C5808">
              <w:rPr>
                <w:rFonts w:ascii="Times New Roman" w:eastAsia="Calibri" w:hAnsi="Times New Roman" w:cs="Times New Roman"/>
                <w:sz w:val="24"/>
                <w:szCs w:val="24"/>
                <w:lang w:val="de-DE"/>
              </w:rPr>
              <w:t>Sitz:</w:t>
            </w:r>
            <w:r w:rsidR="008C5808">
              <w:rPr>
                <w:rFonts w:ascii="Times New Roman" w:eastAsia="Calibri" w:hAnsi="Times New Roman" w:cs="Times New Roman"/>
                <w:sz w:val="24"/>
                <w:szCs w:val="24"/>
                <w:lang w:val="de-DE"/>
              </w:rPr>
              <w:t xml:space="preserve"> </w:t>
            </w:r>
            <w:r w:rsidR="008C5808" w:rsidRPr="008C5808">
              <w:rPr>
                <w:rFonts w:ascii="Times New Roman" w:eastAsia="Calibri" w:hAnsi="Times New Roman" w:cs="Times New Roman"/>
                <w:sz w:val="24"/>
                <w:szCs w:val="24"/>
                <w:lang w:val="de-DE"/>
              </w:rPr>
              <w:t xml:space="preserve">1239 Budapest, </w:t>
            </w:r>
            <w:proofErr w:type="spellStart"/>
            <w:r w:rsidR="008C5808" w:rsidRPr="008C5808">
              <w:rPr>
                <w:rFonts w:ascii="Times New Roman" w:eastAsia="Calibri" w:hAnsi="Times New Roman" w:cs="Times New Roman"/>
                <w:sz w:val="24"/>
                <w:szCs w:val="24"/>
                <w:lang w:val="de-DE"/>
              </w:rPr>
              <w:t>Európa</w:t>
            </w:r>
            <w:proofErr w:type="spellEnd"/>
            <w:r w:rsidR="008C5808" w:rsidRPr="008C5808">
              <w:rPr>
                <w:rFonts w:ascii="Times New Roman" w:eastAsia="Calibri" w:hAnsi="Times New Roman" w:cs="Times New Roman"/>
                <w:sz w:val="24"/>
                <w:szCs w:val="24"/>
                <w:lang w:val="de-DE"/>
              </w:rPr>
              <w:t xml:space="preserve"> u. 6. B1 </w:t>
            </w:r>
            <w:proofErr w:type="spellStart"/>
            <w:r w:rsidR="008C5808" w:rsidRPr="008C5808">
              <w:rPr>
                <w:rFonts w:ascii="Times New Roman" w:eastAsia="Calibri" w:hAnsi="Times New Roman" w:cs="Times New Roman"/>
                <w:sz w:val="24"/>
                <w:szCs w:val="24"/>
                <w:lang w:val="de-DE"/>
              </w:rPr>
              <w:t>ép</w:t>
            </w:r>
            <w:proofErr w:type="spellEnd"/>
            <w:r>
              <w:rPr>
                <w:rFonts w:ascii="Times New Roman" w:hAnsi="Times New Roman"/>
                <w:sz w:val="24"/>
                <w:szCs w:val="24"/>
              </w:rPr>
              <w:t>”</w:t>
            </w:r>
          </w:p>
        </w:tc>
      </w:tr>
      <w:tr w:rsidR="008C5808" w:rsidTr="00130085">
        <w:tc>
          <w:tcPr>
            <w:tcW w:w="675" w:type="dxa"/>
          </w:tcPr>
          <w:p w:rsidR="001F0462" w:rsidRPr="004569C6" w:rsidRDefault="001F0462" w:rsidP="004569C6">
            <w:pPr>
              <w:pStyle w:val="Listaszerbekezds"/>
              <w:numPr>
                <w:ilvl w:val="0"/>
                <w:numId w:val="5"/>
              </w:numPr>
              <w:ind w:right="139"/>
              <w:rPr>
                <w:rFonts w:ascii="Times New Roman" w:hAnsi="Times New Roman" w:cs="Times New Roman"/>
                <w:sz w:val="24"/>
                <w:szCs w:val="24"/>
              </w:rPr>
            </w:pPr>
          </w:p>
        </w:tc>
        <w:tc>
          <w:tcPr>
            <w:tcW w:w="2291" w:type="dxa"/>
          </w:tcPr>
          <w:p w:rsidR="001F0462" w:rsidRDefault="001F0462" w:rsidP="008C5808">
            <w:pP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8C5808">
              <w:rPr>
                <w:rFonts w:ascii="Times New Roman" w:hAnsi="Times New Roman" w:cs="Times New Roman"/>
                <w:sz w:val="24"/>
                <w:szCs w:val="24"/>
              </w:rPr>
              <w:t>Daten</w:t>
            </w:r>
            <w:proofErr w:type="spellEnd"/>
            <w:r w:rsidR="008C5808">
              <w:rPr>
                <w:rFonts w:ascii="Times New Roman" w:hAnsi="Times New Roman" w:cs="Times New Roman"/>
                <w:sz w:val="24"/>
                <w:szCs w:val="24"/>
              </w:rPr>
              <w:t xml:space="preserve"> des AUFTRAGNEHMERS</w:t>
            </w:r>
          </w:p>
        </w:tc>
        <w:tc>
          <w:tcPr>
            <w:tcW w:w="2387" w:type="dxa"/>
          </w:tcPr>
          <w:p w:rsidR="001F0462" w:rsidRPr="00D44978" w:rsidRDefault="001F0462" w:rsidP="00D44978">
            <w:pPr>
              <w:spacing w:after="200" w:line="276" w:lineRule="auto"/>
              <w:jc w:val="both"/>
              <w:rPr>
                <w:rFonts w:ascii="Times New Roman" w:eastAsia="Calibri" w:hAnsi="Times New Roman" w:cs="Times New Roman"/>
                <w:sz w:val="24"/>
                <w:szCs w:val="24"/>
                <w:lang w:val="de-DE"/>
              </w:rPr>
            </w:pPr>
            <w:r w:rsidRPr="00D44978">
              <w:rPr>
                <w:rFonts w:ascii="Times New Roman" w:hAnsi="Times New Roman" w:cs="Times New Roman"/>
                <w:sz w:val="24"/>
                <w:szCs w:val="24"/>
              </w:rPr>
              <w:t>„</w:t>
            </w:r>
            <w:r w:rsidR="00D44978" w:rsidRPr="00D44978">
              <w:rPr>
                <w:rFonts w:ascii="Times New Roman" w:eastAsia="Calibri" w:hAnsi="Times New Roman" w:cs="Times New Roman"/>
                <w:sz w:val="24"/>
                <w:szCs w:val="24"/>
                <w:lang w:val="de-DE"/>
              </w:rPr>
              <w:t>Postanschrift:</w:t>
            </w:r>
            <w:r w:rsidR="00D44978">
              <w:rPr>
                <w:rFonts w:ascii="Times New Roman" w:eastAsia="Calibri" w:hAnsi="Times New Roman" w:cs="Times New Roman"/>
                <w:sz w:val="24"/>
                <w:szCs w:val="24"/>
                <w:lang w:val="de-DE"/>
              </w:rPr>
              <w:t xml:space="preserve"> </w:t>
            </w:r>
            <w:r w:rsidR="00D44978" w:rsidRPr="00D44978">
              <w:rPr>
                <w:rFonts w:ascii="Times New Roman" w:eastAsia="Calibri" w:hAnsi="Times New Roman" w:cs="Times New Roman"/>
                <w:sz w:val="24"/>
                <w:szCs w:val="24"/>
                <w:lang w:val="de-DE"/>
              </w:rPr>
              <w:t xml:space="preserve">8900 </w:t>
            </w:r>
            <w:proofErr w:type="spellStart"/>
            <w:r w:rsidR="00D44978" w:rsidRPr="00D44978">
              <w:rPr>
                <w:rFonts w:ascii="Times New Roman" w:eastAsia="Calibri" w:hAnsi="Times New Roman" w:cs="Times New Roman"/>
                <w:sz w:val="24"/>
                <w:szCs w:val="24"/>
                <w:lang w:val="de-DE"/>
              </w:rPr>
              <w:t>Zalaegerszeg</w:t>
            </w:r>
            <w:proofErr w:type="spellEnd"/>
            <w:r w:rsidR="00D44978" w:rsidRPr="00D44978">
              <w:rPr>
                <w:rFonts w:ascii="Times New Roman" w:eastAsia="Calibri" w:hAnsi="Times New Roman" w:cs="Times New Roman"/>
                <w:sz w:val="24"/>
                <w:szCs w:val="24"/>
                <w:lang w:val="de-DE"/>
              </w:rPr>
              <w:t xml:space="preserve">, </w:t>
            </w:r>
            <w:proofErr w:type="spellStart"/>
            <w:r w:rsidR="00D44978" w:rsidRPr="00D44978">
              <w:rPr>
                <w:rFonts w:ascii="Times New Roman" w:eastAsia="Calibri" w:hAnsi="Times New Roman" w:cs="Times New Roman"/>
                <w:sz w:val="24"/>
                <w:szCs w:val="24"/>
                <w:lang w:val="de-DE"/>
              </w:rPr>
              <w:t>Zrínyi</w:t>
            </w:r>
            <w:proofErr w:type="spellEnd"/>
            <w:r w:rsidR="00D44978" w:rsidRPr="00D44978">
              <w:rPr>
                <w:rFonts w:ascii="Times New Roman" w:eastAsia="Calibri" w:hAnsi="Times New Roman" w:cs="Times New Roman"/>
                <w:sz w:val="24"/>
                <w:szCs w:val="24"/>
                <w:lang w:val="de-DE"/>
              </w:rPr>
              <w:t xml:space="preserve"> Miklós </w:t>
            </w:r>
            <w:proofErr w:type="spellStart"/>
            <w:r w:rsidR="00D44978" w:rsidRPr="00D44978">
              <w:rPr>
                <w:rFonts w:ascii="Times New Roman" w:eastAsia="Calibri" w:hAnsi="Times New Roman" w:cs="Times New Roman"/>
                <w:sz w:val="24"/>
                <w:szCs w:val="24"/>
                <w:lang w:val="de-DE"/>
              </w:rPr>
              <w:t>út</w:t>
            </w:r>
            <w:proofErr w:type="spellEnd"/>
            <w:r w:rsidR="00D44978" w:rsidRPr="00D44978">
              <w:rPr>
                <w:rFonts w:ascii="Times New Roman" w:eastAsia="Calibri" w:hAnsi="Times New Roman" w:cs="Times New Roman"/>
                <w:sz w:val="24"/>
                <w:szCs w:val="24"/>
                <w:lang w:val="de-DE"/>
              </w:rPr>
              <w:t xml:space="preserve"> 105.</w:t>
            </w:r>
            <w:r>
              <w:rPr>
                <w:rFonts w:ascii="Times New Roman" w:hAnsi="Times New Roman" w:cs="Times New Roman"/>
                <w:sz w:val="24"/>
                <w:szCs w:val="24"/>
              </w:rPr>
              <w:t>”</w:t>
            </w:r>
          </w:p>
        </w:tc>
        <w:tc>
          <w:tcPr>
            <w:tcW w:w="4326" w:type="dxa"/>
          </w:tcPr>
          <w:p w:rsidR="001F0462" w:rsidRDefault="00D44978">
            <w:pPr>
              <w:rPr>
                <w:rFonts w:ascii="Times New Roman" w:hAnsi="Times New Roman" w:cs="Times New Roman"/>
                <w:sz w:val="24"/>
                <w:szCs w:val="24"/>
              </w:rPr>
            </w:pPr>
            <w:proofErr w:type="spellStart"/>
            <w:r>
              <w:rPr>
                <w:rFonts w:ascii="Times New Roman" w:hAnsi="Times New Roman" w:cs="Times New Roman"/>
                <w:sz w:val="24"/>
                <w:szCs w:val="24"/>
              </w:rPr>
              <w:t>gelöscht</w:t>
            </w:r>
            <w:proofErr w:type="spellEnd"/>
          </w:p>
        </w:tc>
      </w:tr>
      <w:tr w:rsidR="008C5808" w:rsidTr="00130085">
        <w:tc>
          <w:tcPr>
            <w:tcW w:w="675" w:type="dxa"/>
          </w:tcPr>
          <w:p w:rsidR="002B7585" w:rsidRPr="004569C6" w:rsidRDefault="002B7585" w:rsidP="004569C6">
            <w:pPr>
              <w:pStyle w:val="Listaszerbekezds"/>
              <w:numPr>
                <w:ilvl w:val="0"/>
                <w:numId w:val="5"/>
              </w:numPr>
              <w:ind w:right="139"/>
              <w:rPr>
                <w:rFonts w:ascii="Times New Roman" w:hAnsi="Times New Roman" w:cs="Times New Roman"/>
                <w:sz w:val="24"/>
                <w:szCs w:val="24"/>
              </w:rPr>
            </w:pPr>
          </w:p>
        </w:tc>
        <w:tc>
          <w:tcPr>
            <w:tcW w:w="2291" w:type="dxa"/>
          </w:tcPr>
          <w:p w:rsidR="002B7585" w:rsidRDefault="002B7585" w:rsidP="00D44978">
            <w:pP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D44978">
              <w:rPr>
                <w:rFonts w:ascii="Times New Roman" w:hAnsi="Times New Roman" w:cs="Times New Roman"/>
                <w:sz w:val="24"/>
                <w:szCs w:val="24"/>
              </w:rPr>
              <w:t>Daten</w:t>
            </w:r>
            <w:proofErr w:type="spellEnd"/>
            <w:r w:rsidR="00D44978">
              <w:rPr>
                <w:rFonts w:ascii="Times New Roman" w:hAnsi="Times New Roman" w:cs="Times New Roman"/>
                <w:sz w:val="24"/>
                <w:szCs w:val="24"/>
              </w:rPr>
              <w:t xml:space="preserve"> des AUFTRAGNEHMERS</w:t>
            </w:r>
          </w:p>
        </w:tc>
        <w:tc>
          <w:tcPr>
            <w:tcW w:w="2387" w:type="dxa"/>
          </w:tcPr>
          <w:p w:rsidR="002B7585" w:rsidRPr="00511201" w:rsidRDefault="002B7585" w:rsidP="00511201">
            <w:pPr>
              <w:spacing w:after="200" w:line="276" w:lineRule="auto"/>
              <w:rPr>
                <w:rFonts w:ascii="Times New Roman" w:eastAsia="Calibri" w:hAnsi="Times New Roman" w:cs="Times New Roman"/>
                <w:sz w:val="24"/>
                <w:szCs w:val="24"/>
                <w:lang w:val="de-DE"/>
              </w:rPr>
            </w:pPr>
            <w:r w:rsidRPr="00511201">
              <w:rPr>
                <w:rFonts w:ascii="Times New Roman" w:hAnsi="Times New Roman" w:cs="Times New Roman"/>
                <w:sz w:val="24"/>
                <w:szCs w:val="24"/>
              </w:rPr>
              <w:t>„</w:t>
            </w:r>
            <w:r w:rsidR="00511201">
              <w:rPr>
                <w:rFonts w:ascii="Times New Roman" w:eastAsia="Calibri" w:hAnsi="Times New Roman" w:cs="Times New Roman"/>
                <w:sz w:val="24"/>
                <w:szCs w:val="24"/>
                <w:lang w:val="de-DE"/>
              </w:rPr>
              <w:t xml:space="preserve">vertreten durch </w:t>
            </w:r>
            <w:r w:rsidR="00511201" w:rsidRPr="00511201">
              <w:rPr>
                <w:rFonts w:ascii="Times New Roman" w:eastAsia="Calibri" w:hAnsi="Times New Roman" w:cs="Times New Roman"/>
                <w:sz w:val="24"/>
                <w:szCs w:val="24"/>
                <w:lang w:val="de-DE"/>
              </w:rPr>
              <w:t>Miklós Mayer Generaldirektor</w:t>
            </w:r>
            <w:r>
              <w:rPr>
                <w:rFonts w:ascii="Times New Roman" w:hAnsi="Times New Roman" w:cs="Times New Roman"/>
                <w:sz w:val="24"/>
                <w:szCs w:val="24"/>
              </w:rPr>
              <w:t>”</w:t>
            </w:r>
          </w:p>
        </w:tc>
        <w:tc>
          <w:tcPr>
            <w:tcW w:w="4326" w:type="dxa"/>
          </w:tcPr>
          <w:p w:rsidR="00511201" w:rsidRPr="00511201" w:rsidRDefault="002B7585" w:rsidP="00511201">
            <w:pPr>
              <w:spacing w:after="200" w:line="276" w:lineRule="auto"/>
              <w:jc w:val="both"/>
              <w:rPr>
                <w:rFonts w:ascii="Times New Roman" w:eastAsia="Calibri" w:hAnsi="Times New Roman" w:cs="Times New Roman"/>
                <w:sz w:val="24"/>
                <w:szCs w:val="24"/>
                <w:lang w:val="de-DE"/>
              </w:rPr>
            </w:pPr>
            <w:r w:rsidRPr="00511201">
              <w:rPr>
                <w:rFonts w:ascii="Times New Roman" w:hAnsi="Times New Roman" w:cs="Times New Roman"/>
                <w:sz w:val="24"/>
                <w:szCs w:val="24"/>
              </w:rPr>
              <w:t>”</w:t>
            </w:r>
            <w:r w:rsidR="00511201" w:rsidRPr="00511201">
              <w:rPr>
                <w:rFonts w:ascii="Times New Roman" w:eastAsia="Calibri" w:hAnsi="Times New Roman" w:cs="Times New Roman"/>
                <w:sz w:val="24"/>
                <w:szCs w:val="24"/>
                <w:lang w:val="de-DE"/>
              </w:rPr>
              <w:t>vertreten durch</w:t>
            </w:r>
            <w:r w:rsidR="00511201" w:rsidRPr="00511201">
              <w:rPr>
                <w:rFonts w:ascii="Times New Roman" w:eastAsia="Calibri" w:hAnsi="Times New Roman" w:cs="Times New Roman"/>
                <w:sz w:val="24"/>
                <w:szCs w:val="24"/>
                <w:lang w:val="de-DE"/>
              </w:rPr>
              <w:tab/>
              <w:t xml:space="preserve">Anna </w:t>
            </w:r>
            <w:proofErr w:type="spellStart"/>
            <w:r w:rsidR="00511201" w:rsidRPr="00511201">
              <w:rPr>
                <w:rFonts w:ascii="Times New Roman" w:eastAsia="Calibri" w:hAnsi="Times New Roman" w:cs="Times New Roman"/>
                <w:sz w:val="24"/>
                <w:szCs w:val="24"/>
                <w:lang w:val="de-DE"/>
              </w:rPr>
              <w:t>Czakó</w:t>
            </w:r>
            <w:proofErr w:type="spellEnd"/>
            <w:r w:rsidR="00511201" w:rsidRPr="00511201">
              <w:rPr>
                <w:rFonts w:ascii="Times New Roman" w:eastAsia="Calibri" w:hAnsi="Times New Roman" w:cs="Times New Roman"/>
                <w:sz w:val="24"/>
                <w:szCs w:val="24"/>
                <w:lang w:val="de-DE"/>
              </w:rPr>
              <w:t xml:space="preserve"> Kovács, Generaldirektorin</w:t>
            </w:r>
            <w:r w:rsidR="00511201">
              <w:rPr>
                <w:rFonts w:ascii="Times New Roman" w:eastAsia="Calibri" w:hAnsi="Times New Roman" w:cs="Times New Roman"/>
                <w:sz w:val="24"/>
                <w:szCs w:val="24"/>
                <w:lang w:val="de-DE"/>
              </w:rPr>
              <w:t>“</w:t>
            </w:r>
          </w:p>
          <w:p w:rsidR="002B7585" w:rsidRPr="00511201" w:rsidRDefault="002B7585" w:rsidP="00511201">
            <w:pPr>
              <w:rPr>
                <w:rFonts w:ascii="Times New Roman" w:hAnsi="Times New Roman" w:cs="Times New Roman"/>
                <w:sz w:val="24"/>
                <w:szCs w:val="24"/>
                <w:lang w:val="de-DE"/>
              </w:rPr>
            </w:pP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B708FC" w:rsidP="00EF428C">
            <w:pPr>
              <w:rPr>
                <w:rFonts w:ascii="Times New Roman" w:hAnsi="Times New Roman" w:cs="Times New Roman"/>
                <w:sz w:val="24"/>
                <w:szCs w:val="24"/>
              </w:rPr>
            </w:pPr>
            <w:r>
              <w:rPr>
                <w:rFonts w:ascii="Times New Roman" w:hAnsi="Times New Roman" w:cs="Times New Roman"/>
                <w:sz w:val="24"/>
                <w:szCs w:val="24"/>
              </w:rPr>
              <w:t>V/7 (</w:t>
            </w:r>
            <w:proofErr w:type="spellStart"/>
            <w:r w:rsidR="00EF428C">
              <w:rPr>
                <w:rFonts w:ascii="Times New Roman" w:hAnsi="Times New Roman" w:cs="Times New Roman"/>
                <w:sz w:val="24"/>
                <w:szCs w:val="24"/>
              </w:rPr>
              <w:t>neu</w:t>
            </w:r>
            <w:proofErr w:type="spellEnd"/>
            <w:r>
              <w:rPr>
                <w:rFonts w:ascii="Times New Roman" w:hAnsi="Times New Roman" w:cs="Times New Roman"/>
                <w:sz w:val="24"/>
                <w:szCs w:val="24"/>
              </w:rPr>
              <w:t>)</w:t>
            </w:r>
          </w:p>
        </w:tc>
        <w:tc>
          <w:tcPr>
            <w:tcW w:w="2387" w:type="dxa"/>
          </w:tcPr>
          <w:p w:rsidR="002D6C62" w:rsidRDefault="002D6C62">
            <w:pPr>
              <w:rPr>
                <w:rFonts w:ascii="Times New Roman" w:hAnsi="Times New Roman" w:cs="Times New Roman"/>
                <w:sz w:val="24"/>
                <w:szCs w:val="24"/>
              </w:rPr>
            </w:pPr>
            <w:bookmarkStart w:id="0" w:name="_GoBack"/>
            <w:bookmarkEnd w:id="0"/>
          </w:p>
        </w:tc>
        <w:tc>
          <w:tcPr>
            <w:tcW w:w="4326" w:type="dxa"/>
          </w:tcPr>
          <w:p w:rsidR="00963C77" w:rsidRPr="00963C77" w:rsidRDefault="001F0462" w:rsidP="00963C77">
            <w:pPr>
              <w:pStyle w:val="Listaszerbekezds"/>
              <w:tabs>
                <w:tab w:val="left" w:pos="1418"/>
              </w:tabs>
              <w:spacing w:after="120" w:line="276" w:lineRule="auto"/>
              <w:ind w:left="0"/>
              <w:jc w:val="both"/>
              <w:rPr>
                <w:rFonts w:ascii="Times New Roman" w:eastAsia="Calibri" w:hAnsi="Times New Roman" w:cs="Times New Roman"/>
                <w:sz w:val="24"/>
                <w:szCs w:val="24"/>
                <w:lang w:val="de-DE"/>
              </w:rPr>
            </w:pPr>
            <w:r>
              <w:rPr>
                <w:rFonts w:ascii="Times New Roman" w:hAnsi="Times New Roman"/>
                <w:sz w:val="24"/>
                <w:szCs w:val="24"/>
              </w:rPr>
              <w:t>„</w:t>
            </w:r>
            <w:r w:rsidR="00B708FC">
              <w:rPr>
                <w:rFonts w:ascii="Times New Roman" w:hAnsi="Times New Roman"/>
                <w:sz w:val="24"/>
                <w:szCs w:val="24"/>
              </w:rPr>
              <w:t>7.</w:t>
            </w:r>
            <w:r w:rsidR="00B708FC">
              <w:rPr>
                <w:rFonts w:ascii="Times New Roman" w:hAnsi="Times New Roman"/>
                <w:sz w:val="24"/>
                <w:szCs w:val="24"/>
              </w:rPr>
              <w:tab/>
            </w:r>
            <w:r w:rsidR="00963C77" w:rsidRPr="00963C77">
              <w:rPr>
                <w:rFonts w:ascii="Times New Roman" w:eastAsia="Calibri" w:hAnsi="Times New Roman" w:cs="Times New Roman"/>
                <w:sz w:val="24"/>
                <w:szCs w:val="24"/>
                <w:lang w:val="de-DE"/>
              </w:rPr>
              <w:t>Der AUFTRAGGEBER nimmt zur Kenntnis, dass der AUFTRAGNEHMER in Bezug auf den AUFTRAGGEBER vor dem Vertragsabschluss und während der Vertragsdauer eine Risikoanalyse vor durchführt.</w:t>
            </w:r>
          </w:p>
          <w:p w:rsidR="00963C77" w:rsidRPr="00963C77" w:rsidRDefault="00963C77" w:rsidP="00963C77">
            <w:pPr>
              <w:spacing w:after="120" w:line="276" w:lineRule="auto"/>
              <w:contextualSpacing/>
              <w:jc w:val="both"/>
              <w:rPr>
                <w:rFonts w:ascii="Times New Roman" w:eastAsia="Calibri" w:hAnsi="Times New Roman" w:cs="Times New Roman"/>
                <w:sz w:val="24"/>
                <w:szCs w:val="24"/>
                <w:lang w:val="de-DE"/>
              </w:rPr>
            </w:pPr>
          </w:p>
          <w:p w:rsidR="00963C77" w:rsidRPr="00963C77" w:rsidRDefault="00963C77" w:rsidP="00963C77">
            <w:pPr>
              <w:tabs>
                <w:tab w:val="left" w:pos="1418"/>
              </w:tabs>
              <w:spacing w:after="120" w:line="276" w:lineRule="auto"/>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7.1.</w:t>
            </w:r>
            <w:r w:rsidRPr="00963C77">
              <w:rPr>
                <w:rFonts w:ascii="Times New Roman" w:eastAsia="Calibri" w:hAnsi="Times New Roman" w:cs="Times New Roman"/>
                <w:sz w:val="24"/>
                <w:szCs w:val="24"/>
                <w:lang w:val="de-DE"/>
              </w:rPr>
              <w:tab/>
              <w:t xml:space="preserve">Die Risikoanalyse wird auf der Grundlage der folgenden öffentlichen Datenbanken durchgeführt:  </w:t>
            </w:r>
          </w:p>
          <w:p w:rsidR="00963C77" w:rsidRPr="00963C77" w:rsidRDefault="00963C77" w:rsidP="00963C77">
            <w:pPr>
              <w:numPr>
                <w:ilvl w:val="0"/>
                <w:numId w:val="8"/>
              </w:numPr>
              <w:spacing w:after="120" w:line="276" w:lineRule="auto"/>
              <w:contextualSpacing/>
              <w:jc w:val="both"/>
              <w:rPr>
                <w:rFonts w:ascii="Times New Roman" w:eastAsia="Calibri" w:hAnsi="Times New Roman" w:cs="Times New Roman"/>
                <w:sz w:val="24"/>
                <w:szCs w:val="24"/>
                <w:lang w:val="de-DE"/>
              </w:rPr>
            </w:pPr>
            <w:proofErr w:type="spellStart"/>
            <w:r w:rsidRPr="00963C77">
              <w:rPr>
                <w:rFonts w:ascii="Times New Roman" w:eastAsia="Calibri" w:hAnsi="Times New Roman" w:cs="Times New Roman"/>
                <w:sz w:val="24"/>
                <w:szCs w:val="24"/>
                <w:lang w:val="de-DE"/>
              </w:rPr>
              <w:t>Bisnode</w:t>
            </w:r>
            <w:proofErr w:type="spellEnd"/>
            <w:r w:rsidRPr="00963C77">
              <w:rPr>
                <w:rFonts w:ascii="Times New Roman" w:eastAsia="Calibri" w:hAnsi="Times New Roman" w:cs="Times New Roman"/>
                <w:sz w:val="24"/>
                <w:szCs w:val="24"/>
                <w:lang w:val="de-DE"/>
              </w:rPr>
              <w:t xml:space="preserve"> </w:t>
            </w:r>
            <w:proofErr w:type="spellStart"/>
            <w:r w:rsidRPr="00963C77">
              <w:rPr>
                <w:rFonts w:ascii="Times New Roman" w:eastAsia="Calibri" w:hAnsi="Times New Roman" w:cs="Times New Roman"/>
                <w:sz w:val="24"/>
                <w:szCs w:val="24"/>
                <w:lang w:val="de-DE"/>
              </w:rPr>
              <w:t>Credit</w:t>
            </w:r>
            <w:proofErr w:type="spellEnd"/>
            <w:r w:rsidRPr="00963C77">
              <w:rPr>
                <w:rFonts w:ascii="Times New Roman" w:eastAsia="Calibri" w:hAnsi="Times New Roman" w:cs="Times New Roman"/>
                <w:sz w:val="24"/>
                <w:szCs w:val="24"/>
                <w:lang w:val="de-DE"/>
              </w:rPr>
              <w:t xml:space="preserve"> Report</w:t>
            </w:r>
          </w:p>
          <w:p w:rsidR="00963C77" w:rsidRPr="00963C77" w:rsidRDefault="00963C77" w:rsidP="00963C77">
            <w:pPr>
              <w:numPr>
                <w:ilvl w:val="0"/>
                <w:numId w:val="8"/>
              </w:numPr>
              <w:spacing w:after="120" w:line="276" w:lineRule="auto"/>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OPTEN Unternehmensdatenbank</w:t>
            </w:r>
          </w:p>
          <w:p w:rsidR="00963C77" w:rsidRPr="00963C77" w:rsidRDefault="00963C77" w:rsidP="00963C77">
            <w:pPr>
              <w:numPr>
                <w:ilvl w:val="0"/>
                <w:numId w:val="8"/>
              </w:numPr>
              <w:spacing w:after="120" w:line="276" w:lineRule="auto"/>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 xml:space="preserve">Datenbanken der NAV, der Nationalen Steuer- und </w:t>
            </w:r>
            <w:r w:rsidRPr="00963C77">
              <w:rPr>
                <w:rFonts w:ascii="Times New Roman" w:eastAsia="Calibri" w:hAnsi="Times New Roman" w:cs="Times New Roman"/>
                <w:sz w:val="24"/>
                <w:szCs w:val="24"/>
                <w:lang w:val="de-DE"/>
              </w:rPr>
              <w:lastRenderedPageBreak/>
              <w:t>Zollbehörde (</w:t>
            </w:r>
            <w:hyperlink r:id="rId7" w:history="1">
              <w:r w:rsidRPr="00963C77">
                <w:rPr>
                  <w:rFonts w:ascii="Times New Roman" w:eastAsia="Calibri" w:hAnsi="Times New Roman" w:cs="Times New Roman"/>
                  <w:color w:val="0000FF"/>
                  <w:sz w:val="24"/>
                  <w:szCs w:val="24"/>
                  <w:u w:val="single"/>
                  <w:lang w:val="de-DE"/>
                </w:rPr>
                <w:t>www.nav.gov.hu</w:t>
              </w:r>
            </w:hyperlink>
            <w:r w:rsidRPr="00963C77">
              <w:rPr>
                <w:rFonts w:ascii="Times New Roman" w:eastAsia="Calibri" w:hAnsi="Times New Roman" w:cs="Times New Roman"/>
                <w:sz w:val="24"/>
                <w:szCs w:val="24"/>
                <w:lang w:val="de-DE"/>
              </w:rPr>
              <w:t>)</w:t>
            </w:r>
          </w:p>
          <w:p w:rsidR="00963C77" w:rsidRPr="00963C77" w:rsidRDefault="00963C77" w:rsidP="00963C77">
            <w:pPr>
              <w:tabs>
                <w:tab w:val="left" w:pos="1418"/>
              </w:tabs>
              <w:spacing w:after="120" w:line="276" w:lineRule="auto"/>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7.2.</w:t>
            </w:r>
            <w:r w:rsidRPr="00963C77">
              <w:rPr>
                <w:rFonts w:ascii="Times New Roman" w:eastAsia="Calibri" w:hAnsi="Times New Roman" w:cs="Times New Roman"/>
                <w:sz w:val="24"/>
                <w:szCs w:val="24"/>
                <w:lang w:val="de-DE"/>
              </w:rPr>
              <w:tab/>
              <w:t>Die Risikoanalyse beinhaltet insbesondere, aber nicht ausschließlich folgende Daten:</w:t>
            </w:r>
          </w:p>
          <w:p w:rsidR="00963C77" w:rsidRPr="00963C77" w:rsidRDefault="00963C77" w:rsidP="00963C77">
            <w:pPr>
              <w:numPr>
                <w:ilvl w:val="0"/>
                <w:numId w:val="9"/>
              </w:numPr>
              <w:spacing w:after="120" w:line="276" w:lineRule="auto"/>
              <w:ind w:hanging="75"/>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Daten der Bilanz und der Gewinn- und Verlustrechnung</w:t>
            </w:r>
          </w:p>
          <w:p w:rsidR="00963C77" w:rsidRPr="00963C77" w:rsidRDefault="00963C77" w:rsidP="00963C77">
            <w:pPr>
              <w:numPr>
                <w:ilvl w:val="0"/>
                <w:numId w:val="9"/>
              </w:numPr>
              <w:spacing w:after="120" w:line="276" w:lineRule="auto"/>
              <w:ind w:hanging="75"/>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Vollstreckungsverfahren</w:t>
            </w:r>
          </w:p>
          <w:p w:rsidR="00963C77" w:rsidRPr="00963C77" w:rsidRDefault="00963C77" w:rsidP="00963C77">
            <w:pPr>
              <w:numPr>
                <w:ilvl w:val="0"/>
                <w:numId w:val="9"/>
              </w:numPr>
              <w:spacing w:after="120" w:line="276" w:lineRule="auto"/>
              <w:ind w:hanging="75"/>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Negative Ereignisse in Unternehmensdatenbanken (Ratingagentur)</w:t>
            </w:r>
          </w:p>
          <w:p w:rsidR="00963C77" w:rsidRPr="00963C77" w:rsidRDefault="00963C77" w:rsidP="00963C77">
            <w:pPr>
              <w:numPr>
                <w:ilvl w:val="0"/>
                <w:numId w:val="9"/>
              </w:numPr>
              <w:spacing w:after="120" w:line="276" w:lineRule="auto"/>
              <w:ind w:hanging="75"/>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Risiko Index in Unternehmensdatenbanken (Ratingagentur)</w:t>
            </w:r>
          </w:p>
          <w:p w:rsidR="00963C77" w:rsidRPr="00963C77" w:rsidRDefault="00963C77" w:rsidP="00963C77">
            <w:pPr>
              <w:numPr>
                <w:ilvl w:val="0"/>
                <w:numId w:val="9"/>
              </w:numPr>
              <w:spacing w:after="120" w:line="276" w:lineRule="auto"/>
              <w:ind w:hanging="75"/>
              <w:contextualSpacing/>
              <w:jc w:val="both"/>
              <w:rPr>
                <w:rFonts w:ascii="Times New Roman" w:eastAsia="Calibri" w:hAnsi="Times New Roman" w:cs="Times New Roman"/>
                <w:sz w:val="24"/>
                <w:szCs w:val="24"/>
                <w:lang w:val="de-DE"/>
              </w:rPr>
            </w:pPr>
            <w:r w:rsidRPr="00963C77">
              <w:rPr>
                <w:rFonts w:ascii="Times New Roman" w:eastAsia="Calibri" w:hAnsi="Times New Roman" w:cs="Times New Roman"/>
                <w:sz w:val="24"/>
                <w:szCs w:val="24"/>
                <w:lang w:val="de-DE"/>
              </w:rPr>
              <w:t>Unternehmenskontakte</w:t>
            </w:r>
          </w:p>
          <w:p w:rsidR="002D6C62" w:rsidRDefault="00963C77" w:rsidP="00963C77">
            <w:pPr>
              <w:tabs>
                <w:tab w:val="left" w:pos="1418"/>
              </w:tabs>
              <w:spacing w:after="120" w:line="276" w:lineRule="auto"/>
              <w:jc w:val="both"/>
              <w:rPr>
                <w:rFonts w:ascii="Times New Roman" w:hAnsi="Times New Roman" w:cs="Times New Roman"/>
                <w:sz w:val="24"/>
                <w:szCs w:val="24"/>
              </w:rPr>
            </w:pPr>
            <w:r w:rsidRPr="00963C77">
              <w:rPr>
                <w:rFonts w:ascii="Times New Roman" w:eastAsia="Calibri" w:hAnsi="Times New Roman" w:cs="Times New Roman"/>
                <w:sz w:val="24"/>
                <w:szCs w:val="24"/>
                <w:lang w:val="de-DE"/>
              </w:rPr>
              <w:t>7.3.</w:t>
            </w:r>
            <w:r w:rsidRPr="00963C77">
              <w:rPr>
                <w:rFonts w:ascii="Times New Roman" w:eastAsia="Calibri" w:hAnsi="Times New Roman" w:cs="Times New Roman"/>
                <w:sz w:val="24"/>
                <w:szCs w:val="24"/>
                <w:lang w:val="de-DE"/>
              </w:rPr>
              <w:tab/>
              <w:t>Die Risikoanalyse umfasst die Mitglieder, Eigentümer, Amtsträger, Unternehmenskontakte, Geschäftsbetriebe, Vorgängerunternehmen, verbundenen Unternehmen.</w:t>
            </w:r>
            <w:r>
              <w:rPr>
                <w:rFonts w:ascii="Times New Roman" w:eastAsia="Calibri" w:hAnsi="Times New Roman" w:cs="Times New Roman"/>
                <w:sz w:val="24"/>
                <w:szCs w:val="24"/>
                <w:lang w:val="de-DE"/>
              </w:rPr>
              <w:t>“</w:t>
            </w: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B708FC">
            <w:pPr>
              <w:rPr>
                <w:rFonts w:ascii="Times New Roman" w:hAnsi="Times New Roman" w:cs="Times New Roman"/>
                <w:sz w:val="24"/>
                <w:szCs w:val="24"/>
              </w:rPr>
            </w:pPr>
            <w:r>
              <w:rPr>
                <w:rFonts w:ascii="Times New Roman" w:hAnsi="Times New Roman" w:cs="Times New Roman"/>
                <w:sz w:val="24"/>
                <w:szCs w:val="24"/>
              </w:rPr>
              <w:t>V/8</w:t>
            </w:r>
          </w:p>
        </w:tc>
        <w:tc>
          <w:tcPr>
            <w:tcW w:w="2387" w:type="dxa"/>
          </w:tcPr>
          <w:p w:rsidR="002D6C62" w:rsidRDefault="002D6C62">
            <w:pPr>
              <w:rPr>
                <w:rFonts w:ascii="Times New Roman" w:hAnsi="Times New Roman" w:cs="Times New Roman"/>
                <w:sz w:val="24"/>
                <w:szCs w:val="24"/>
              </w:rPr>
            </w:pPr>
          </w:p>
        </w:tc>
        <w:tc>
          <w:tcPr>
            <w:tcW w:w="4326" w:type="dxa"/>
          </w:tcPr>
          <w:p w:rsidR="002D6C62" w:rsidRDefault="00EF134B" w:rsidP="00EF134B">
            <w:pPr>
              <w:rPr>
                <w:rFonts w:ascii="Times New Roman" w:hAnsi="Times New Roman" w:cs="Times New Roman"/>
                <w:sz w:val="24"/>
                <w:szCs w:val="24"/>
              </w:rPr>
            </w:pPr>
            <w:proofErr w:type="spellStart"/>
            <w:r>
              <w:rPr>
                <w:rFonts w:ascii="Times New Roman" w:hAnsi="Times New Roman" w:cs="Times New Roman"/>
                <w:sz w:val="24"/>
                <w:szCs w:val="24"/>
              </w:rPr>
              <w:t>Früherer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Punkt</w:t>
            </w:r>
            <w:proofErr w:type="spellEnd"/>
            <w:r w:rsidR="00B708FC">
              <w:rPr>
                <w:rFonts w:ascii="Times New Roman" w:hAnsi="Times New Roman" w:cs="Times New Roman"/>
                <w:sz w:val="24"/>
                <w:szCs w:val="24"/>
              </w:rPr>
              <w:t xml:space="preserve"> V/7. </w:t>
            </w:r>
            <w:proofErr w:type="spellStart"/>
            <w:r>
              <w:rPr>
                <w:rFonts w:ascii="Times New Roman" w:hAnsi="Times New Roman" w:cs="Times New Roman"/>
                <w:sz w:val="24"/>
                <w:szCs w:val="24"/>
              </w:rPr>
              <w:t>wird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Punkt</w:t>
            </w:r>
            <w:proofErr w:type="spellEnd"/>
            <w:r w:rsidR="00B708FC">
              <w:rPr>
                <w:rFonts w:ascii="Times New Roman" w:hAnsi="Times New Roman" w:cs="Times New Roman"/>
                <w:sz w:val="24"/>
                <w:szCs w:val="24"/>
              </w:rPr>
              <w:t xml:space="preserve"> V/8. </w:t>
            </w:r>
            <w:proofErr w:type="spellStart"/>
            <w:r>
              <w:rPr>
                <w:rFonts w:ascii="Times New Roman" w:hAnsi="Times New Roman" w:cs="Times New Roman"/>
                <w:sz w:val="24"/>
                <w:szCs w:val="24"/>
              </w:rPr>
              <w:t>durch</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neue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Nummerierung</w:t>
            </w:r>
            <w:proofErr w:type="spellEnd"/>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EF134B" w:rsidP="00EF134B">
            <w:pPr>
              <w:rPr>
                <w:rFonts w:ascii="Times New Roman" w:hAnsi="Times New Roman" w:cs="Times New Roman"/>
                <w:sz w:val="24"/>
                <w:szCs w:val="24"/>
              </w:rPr>
            </w:pPr>
            <w:proofErr w:type="spellStart"/>
            <w:r>
              <w:rPr>
                <w:rFonts w:ascii="Times New Roman" w:hAnsi="Times New Roman" w:cs="Times New Roman"/>
                <w:sz w:val="24"/>
                <w:szCs w:val="24"/>
              </w:rPr>
              <w:t>Punkt</w:t>
            </w:r>
            <w:proofErr w:type="spellEnd"/>
            <w:r>
              <w:rPr>
                <w:rFonts w:ascii="Times New Roman" w:hAnsi="Times New Roman" w:cs="Times New Roman"/>
                <w:sz w:val="24"/>
                <w:szCs w:val="24"/>
              </w:rPr>
              <w:t xml:space="preserve"> </w:t>
            </w:r>
            <w:r w:rsidR="00B708FC">
              <w:rPr>
                <w:rFonts w:ascii="Times New Roman" w:hAnsi="Times New Roman" w:cs="Times New Roman"/>
                <w:sz w:val="24"/>
                <w:szCs w:val="24"/>
              </w:rPr>
              <w:t>VII/2.2</w:t>
            </w:r>
            <w:proofErr w:type="gramStart"/>
            <w:r w:rsidR="00B708FC">
              <w:rPr>
                <w:rFonts w:ascii="Times New Roman" w:hAnsi="Times New Roman" w:cs="Times New Roman"/>
                <w:sz w:val="24"/>
                <w:szCs w:val="24"/>
              </w:rPr>
              <w:t>.c</w:t>
            </w:r>
            <w:proofErr w:type="gramEnd"/>
            <w:r w:rsidR="00B708FC">
              <w:rPr>
                <w:rFonts w:ascii="Times New Roman" w:hAnsi="Times New Roman" w:cs="Times New Roman"/>
                <w:sz w:val="24"/>
                <w:szCs w:val="24"/>
              </w:rPr>
              <w:t xml:space="preserve">) </w:t>
            </w:r>
            <w:proofErr w:type="spellStart"/>
            <w:r>
              <w:rPr>
                <w:rFonts w:ascii="Times New Roman" w:hAnsi="Times New Roman" w:cs="Times New Roman"/>
                <w:sz w:val="24"/>
                <w:szCs w:val="24"/>
              </w:rPr>
              <w:t>wird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ergänzt</w:t>
            </w:r>
            <w:proofErr w:type="spellEnd"/>
          </w:p>
        </w:tc>
        <w:tc>
          <w:tcPr>
            <w:tcW w:w="2387" w:type="dxa"/>
          </w:tcPr>
          <w:p w:rsidR="002D6C62" w:rsidRDefault="002D6C62">
            <w:pPr>
              <w:rPr>
                <w:rFonts w:ascii="Times New Roman" w:hAnsi="Times New Roman" w:cs="Times New Roman"/>
                <w:sz w:val="24"/>
                <w:szCs w:val="24"/>
              </w:rPr>
            </w:pPr>
          </w:p>
        </w:tc>
        <w:tc>
          <w:tcPr>
            <w:tcW w:w="4326" w:type="dxa"/>
          </w:tcPr>
          <w:p w:rsidR="002D6C62" w:rsidRPr="001F0462" w:rsidRDefault="00B708FC" w:rsidP="00591C31">
            <w:pPr>
              <w:rPr>
                <w:rFonts w:ascii="Times New Roman" w:hAnsi="Times New Roman" w:cs="Times New Roman"/>
                <w:sz w:val="24"/>
                <w:szCs w:val="24"/>
              </w:rPr>
            </w:pPr>
            <w:r w:rsidRPr="001F0462">
              <w:rPr>
                <w:rFonts w:ascii="Times New Roman" w:hAnsi="Times New Roman" w:cs="Times New Roman"/>
                <w:sz w:val="24"/>
                <w:szCs w:val="24"/>
              </w:rPr>
              <w:t>„.</w:t>
            </w:r>
            <w:proofErr w:type="gramStart"/>
            <w:r w:rsidRPr="001F0462">
              <w:rPr>
                <w:rFonts w:ascii="Times New Roman" w:hAnsi="Times New Roman" w:cs="Times New Roman"/>
                <w:sz w:val="24"/>
                <w:szCs w:val="24"/>
              </w:rPr>
              <w:t>..</w:t>
            </w:r>
            <w:r w:rsidR="00591C31" w:rsidRPr="00591C31">
              <w:rPr>
                <w:rFonts w:ascii="Times New Roman" w:hAnsi="Times New Roman" w:cs="Times New Roman"/>
                <w:sz w:val="24"/>
                <w:szCs w:val="24"/>
                <w:lang w:val="de-DE"/>
              </w:rPr>
              <w:t>bzw</w:t>
            </w:r>
            <w:proofErr w:type="gramEnd"/>
            <w:r w:rsidR="00591C31" w:rsidRPr="00591C31">
              <w:rPr>
                <w:rFonts w:ascii="Times New Roman" w:hAnsi="Times New Roman" w:cs="Times New Roman"/>
                <w:sz w:val="24"/>
                <w:szCs w:val="24"/>
                <w:lang w:val="de-DE"/>
              </w:rPr>
              <w:t>. die Feststellung von negativen Risikodaten während der im Punkt V/7. beschriebenen Risikoanalyse</w:t>
            </w:r>
            <w:r w:rsidRPr="001F0462">
              <w:rPr>
                <w:rFonts w:ascii="Times New Roman" w:hAnsi="Times New Roman" w:cs="Times New Roman"/>
                <w:sz w:val="24"/>
                <w:szCs w:val="24"/>
              </w:rPr>
              <w:t>, …”</w:t>
            </w: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850BEA" w:rsidP="00591C31">
            <w:pPr>
              <w:rPr>
                <w:rFonts w:ascii="Times New Roman" w:hAnsi="Times New Roman" w:cs="Times New Roman"/>
                <w:sz w:val="24"/>
                <w:szCs w:val="24"/>
              </w:rPr>
            </w:pPr>
            <w:r>
              <w:rPr>
                <w:rFonts w:ascii="Times New Roman" w:hAnsi="Times New Roman" w:cs="Times New Roman"/>
                <w:sz w:val="24"/>
                <w:szCs w:val="24"/>
              </w:rPr>
              <w:t>VII/</w:t>
            </w:r>
            <w:r w:rsidR="00B708FC">
              <w:rPr>
                <w:rFonts w:ascii="Times New Roman" w:hAnsi="Times New Roman" w:cs="Times New Roman"/>
                <w:sz w:val="24"/>
                <w:szCs w:val="24"/>
              </w:rPr>
              <w:t>5</w:t>
            </w:r>
            <w:r>
              <w:rPr>
                <w:rFonts w:ascii="Times New Roman" w:hAnsi="Times New Roman" w:cs="Times New Roman"/>
                <w:sz w:val="24"/>
                <w:szCs w:val="24"/>
              </w:rPr>
              <w:t>.</w:t>
            </w:r>
            <w:r w:rsidR="00B708FC">
              <w:rPr>
                <w:rFonts w:ascii="Times New Roman" w:hAnsi="Times New Roman" w:cs="Times New Roman"/>
                <w:sz w:val="24"/>
                <w:szCs w:val="24"/>
              </w:rPr>
              <w:t xml:space="preserve"> (</w:t>
            </w:r>
            <w:proofErr w:type="spellStart"/>
            <w:r w:rsidR="00591C31">
              <w:rPr>
                <w:rFonts w:ascii="Times New Roman" w:hAnsi="Times New Roman" w:cs="Times New Roman"/>
                <w:sz w:val="24"/>
                <w:szCs w:val="24"/>
              </w:rPr>
              <w:t>neu</w:t>
            </w:r>
            <w:proofErr w:type="spellEnd"/>
            <w:r w:rsidR="00B708FC">
              <w:rPr>
                <w:rFonts w:ascii="Times New Roman" w:hAnsi="Times New Roman" w:cs="Times New Roman"/>
                <w:sz w:val="24"/>
                <w:szCs w:val="24"/>
              </w:rPr>
              <w:t>)</w:t>
            </w:r>
          </w:p>
        </w:tc>
        <w:tc>
          <w:tcPr>
            <w:tcW w:w="2387" w:type="dxa"/>
          </w:tcPr>
          <w:p w:rsidR="002D6C62" w:rsidRDefault="002D6C62">
            <w:pPr>
              <w:rPr>
                <w:rFonts w:ascii="Times New Roman" w:hAnsi="Times New Roman" w:cs="Times New Roman"/>
                <w:sz w:val="24"/>
                <w:szCs w:val="24"/>
              </w:rPr>
            </w:pPr>
          </w:p>
        </w:tc>
        <w:tc>
          <w:tcPr>
            <w:tcW w:w="4326" w:type="dxa"/>
          </w:tcPr>
          <w:p w:rsidR="002D6C62" w:rsidRPr="00640AEA" w:rsidRDefault="001F0462" w:rsidP="00640AEA">
            <w:pPr>
              <w:pStyle w:val="Listaszerbekezds"/>
              <w:numPr>
                <w:ilvl w:val="0"/>
                <w:numId w:val="10"/>
              </w:numPr>
              <w:tabs>
                <w:tab w:val="left" w:pos="1418"/>
              </w:tabs>
              <w:spacing w:after="200" w:line="276" w:lineRule="auto"/>
              <w:ind w:left="0" w:firstLine="0"/>
              <w:jc w:val="both"/>
              <w:rPr>
                <w:rFonts w:ascii="Times New Roman" w:eastAsia="Calibri" w:hAnsi="Times New Roman" w:cs="Times New Roman"/>
                <w:sz w:val="24"/>
                <w:szCs w:val="24"/>
                <w:lang w:val="de-DE"/>
              </w:rPr>
            </w:pPr>
            <w:r w:rsidRPr="001F0462">
              <w:rPr>
                <w:rFonts w:ascii="Times New Roman" w:hAnsi="Times New Roman"/>
                <w:color w:val="000000" w:themeColor="text1"/>
                <w:sz w:val="24"/>
                <w:szCs w:val="24"/>
              </w:rPr>
              <w:t>„5.</w:t>
            </w:r>
            <w:r w:rsidRPr="001F0462">
              <w:rPr>
                <w:rFonts w:ascii="Times New Roman" w:hAnsi="Times New Roman"/>
                <w:color w:val="000000" w:themeColor="text1"/>
                <w:sz w:val="24"/>
                <w:szCs w:val="24"/>
              </w:rPr>
              <w:tab/>
            </w:r>
            <w:r w:rsidR="00640AEA" w:rsidRPr="00640AEA">
              <w:rPr>
                <w:rFonts w:ascii="Times New Roman" w:eastAsia="Calibri" w:hAnsi="Times New Roman" w:cs="Times New Roman"/>
                <w:sz w:val="24"/>
                <w:szCs w:val="24"/>
                <w:lang w:val="de-DE"/>
              </w:rPr>
              <w:t>Der AUFTRAGGEBER nimmt zur Kenntnis, dass der AUFTRAGNEHMER den Vertrag als gekündigt betrachtet, wenn der AUFTRAGGEBER während der Vertragsdauer zwei Jahre lang keine Dien</w:t>
            </w:r>
            <w:r w:rsidR="00640AEA">
              <w:rPr>
                <w:rFonts w:ascii="Times New Roman" w:eastAsia="Calibri" w:hAnsi="Times New Roman" w:cs="Times New Roman"/>
                <w:sz w:val="24"/>
                <w:szCs w:val="24"/>
                <w:lang w:val="de-DE"/>
              </w:rPr>
              <w:t>stleistungen in Anspruch nimmt.</w:t>
            </w:r>
            <w:r w:rsidRPr="00640AEA">
              <w:rPr>
                <w:rFonts w:ascii="Times New Roman" w:hAnsi="Times New Roman"/>
                <w:color w:val="000000" w:themeColor="text1"/>
                <w:sz w:val="24"/>
                <w:szCs w:val="24"/>
              </w:rPr>
              <w:t>”</w:t>
            </w: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4C1292" w:rsidP="004C1292">
            <w:pPr>
              <w:rPr>
                <w:rFonts w:ascii="Times New Roman" w:hAnsi="Times New Roman" w:cs="Times New Roman"/>
                <w:sz w:val="24"/>
                <w:szCs w:val="24"/>
              </w:rPr>
            </w:pPr>
            <w:proofErr w:type="spellStart"/>
            <w:r>
              <w:rPr>
                <w:rFonts w:ascii="Times New Roman" w:hAnsi="Times New Roman" w:cs="Times New Roman"/>
                <w:sz w:val="24"/>
                <w:szCs w:val="24"/>
              </w:rPr>
              <w:t>Inkrafttreten</w:t>
            </w:r>
            <w:proofErr w:type="spellEnd"/>
          </w:p>
        </w:tc>
        <w:tc>
          <w:tcPr>
            <w:tcW w:w="2387" w:type="dxa"/>
          </w:tcPr>
          <w:p w:rsidR="002D6C62" w:rsidRPr="004604A9" w:rsidRDefault="001F0462" w:rsidP="001F0462">
            <w:pPr>
              <w:jc w:val="both"/>
              <w:rPr>
                <w:rFonts w:ascii="Times New Roman" w:eastAsia="Calibri" w:hAnsi="Times New Roman" w:cs="Times New Roman"/>
                <w:sz w:val="24"/>
                <w:szCs w:val="24"/>
                <w:lang w:val="de-DE"/>
              </w:rPr>
            </w:pPr>
            <w:r>
              <w:rPr>
                <w:rFonts w:ascii="Times New Roman" w:hAnsi="Times New Roman" w:cs="Times New Roman"/>
                <w:sz w:val="24"/>
                <w:szCs w:val="24"/>
              </w:rPr>
              <w:t>„</w:t>
            </w:r>
            <w:r w:rsidR="004604A9" w:rsidRPr="004604A9">
              <w:rPr>
                <w:rFonts w:ascii="Times New Roman" w:eastAsia="Calibri" w:hAnsi="Times New Roman" w:cs="Times New Roman"/>
                <w:sz w:val="24"/>
                <w:szCs w:val="24"/>
                <w:lang w:val="de-DE"/>
              </w:rPr>
              <w:t>Die vorliegenden Allgemeinen Vertragsbedingungen treten am 1. Juni 2017 in Kraft und gleichzeitig tritt die AVB vom 1. November 2012 außer Kraft. Somit sind die vorliegenden AVB auch auf anhängige Rechtsbeziehungen anzuwenden.</w:t>
            </w:r>
            <w:r>
              <w:rPr>
                <w:rFonts w:ascii="Times New Roman" w:hAnsi="Times New Roman"/>
                <w:sz w:val="24"/>
                <w:szCs w:val="24"/>
              </w:rPr>
              <w:t>”</w:t>
            </w:r>
          </w:p>
        </w:tc>
        <w:tc>
          <w:tcPr>
            <w:tcW w:w="4326" w:type="dxa"/>
          </w:tcPr>
          <w:p w:rsidR="00053D3A" w:rsidRPr="00053D3A" w:rsidRDefault="001F0462" w:rsidP="00053D3A">
            <w:pPr>
              <w:jc w:val="both"/>
              <w:rPr>
                <w:rFonts w:ascii="Times New Roman" w:eastAsia="Calibri" w:hAnsi="Times New Roman" w:cs="Times New Roman"/>
                <w:sz w:val="24"/>
                <w:szCs w:val="24"/>
                <w:lang w:val="de-DE"/>
              </w:rPr>
            </w:pPr>
            <w:r>
              <w:rPr>
                <w:rFonts w:ascii="Times New Roman" w:hAnsi="Times New Roman" w:cs="Times New Roman"/>
                <w:sz w:val="24"/>
                <w:szCs w:val="24"/>
              </w:rPr>
              <w:t>„</w:t>
            </w:r>
            <w:r w:rsidR="00053D3A" w:rsidRPr="00053D3A">
              <w:rPr>
                <w:rFonts w:ascii="Times New Roman" w:eastAsia="Calibri" w:hAnsi="Times New Roman" w:cs="Times New Roman"/>
                <w:sz w:val="24"/>
                <w:szCs w:val="24"/>
                <w:lang w:val="de-DE"/>
              </w:rPr>
              <w:t>Die vorliegenden Allgemeinen Vertragsbedingungen treten am 1. Januar 2018 in Kraft und gleichzeitig tritt die AVB vom 1. Juni 2017 außer Kraft. Somit sind die vorliegenden AVB auch auf anhängige Rechtsbeziehungen anzuwenden.</w:t>
            </w:r>
            <w:r w:rsidR="00053D3A">
              <w:rPr>
                <w:rFonts w:ascii="Times New Roman" w:eastAsia="Calibri" w:hAnsi="Times New Roman" w:cs="Times New Roman"/>
                <w:sz w:val="24"/>
                <w:szCs w:val="24"/>
                <w:lang w:val="de-DE"/>
              </w:rPr>
              <w:t>“</w:t>
            </w:r>
          </w:p>
          <w:p w:rsidR="002D6C62" w:rsidRPr="00053D3A" w:rsidRDefault="002D6C62">
            <w:pPr>
              <w:rPr>
                <w:rFonts w:ascii="Times New Roman" w:hAnsi="Times New Roman" w:cs="Times New Roman"/>
                <w:sz w:val="24"/>
                <w:szCs w:val="24"/>
                <w:lang w:val="de-DE"/>
              </w:rPr>
            </w:pPr>
          </w:p>
        </w:tc>
      </w:tr>
      <w:tr w:rsidR="008C5808" w:rsidTr="00130085">
        <w:tc>
          <w:tcPr>
            <w:tcW w:w="675" w:type="dxa"/>
          </w:tcPr>
          <w:p w:rsidR="001F0462" w:rsidRPr="004569C6" w:rsidRDefault="001F0462" w:rsidP="004569C6">
            <w:pPr>
              <w:pStyle w:val="Listaszerbekezds"/>
              <w:numPr>
                <w:ilvl w:val="0"/>
                <w:numId w:val="5"/>
              </w:numPr>
              <w:ind w:right="139"/>
              <w:rPr>
                <w:rFonts w:ascii="Times New Roman" w:hAnsi="Times New Roman" w:cs="Times New Roman"/>
                <w:sz w:val="24"/>
                <w:szCs w:val="24"/>
              </w:rPr>
            </w:pPr>
          </w:p>
        </w:tc>
        <w:tc>
          <w:tcPr>
            <w:tcW w:w="2291" w:type="dxa"/>
          </w:tcPr>
          <w:p w:rsidR="001F0462" w:rsidRDefault="004C1292" w:rsidP="004C1292">
            <w:pPr>
              <w:rPr>
                <w:rFonts w:ascii="Times New Roman" w:hAnsi="Times New Roman" w:cs="Times New Roman"/>
                <w:sz w:val="24"/>
                <w:szCs w:val="24"/>
              </w:rPr>
            </w:pPr>
            <w:proofErr w:type="spellStart"/>
            <w:r>
              <w:rPr>
                <w:rFonts w:ascii="Times New Roman" w:hAnsi="Times New Roman" w:cs="Times New Roman"/>
                <w:sz w:val="24"/>
                <w:szCs w:val="24"/>
              </w:rPr>
              <w:t>Da</w:t>
            </w:r>
            <w:r w:rsidR="00E17412">
              <w:rPr>
                <w:rFonts w:ascii="Times New Roman" w:hAnsi="Times New Roman" w:cs="Times New Roman"/>
                <w:sz w:val="24"/>
                <w:szCs w:val="24"/>
              </w:rPr>
              <w:t>tum</w:t>
            </w:r>
            <w:proofErr w:type="spellEnd"/>
          </w:p>
        </w:tc>
        <w:tc>
          <w:tcPr>
            <w:tcW w:w="2387" w:type="dxa"/>
          </w:tcPr>
          <w:p w:rsidR="001F0462" w:rsidRDefault="00E17412" w:rsidP="004C1292">
            <w:pPr>
              <w:rPr>
                <w:rFonts w:ascii="Times New Roman" w:hAnsi="Times New Roman" w:cs="Times New Roman"/>
                <w:sz w:val="24"/>
                <w:szCs w:val="24"/>
              </w:rPr>
            </w:pPr>
            <w:r>
              <w:rPr>
                <w:rFonts w:ascii="Times New Roman" w:hAnsi="Times New Roman" w:cs="Times New Roman"/>
                <w:sz w:val="24"/>
                <w:szCs w:val="24"/>
              </w:rPr>
              <w:t>„</w:t>
            </w:r>
            <w:r w:rsidR="004C1292">
              <w:rPr>
                <w:rFonts w:ascii="Times New Roman" w:hAnsi="Times New Roman" w:cs="Times New Roman"/>
                <w:sz w:val="24"/>
                <w:szCs w:val="24"/>
              </w:rPr>
              <w:t xml:space="preserve">1. </w:t>
            </w:r>
            <w:proofErr w:type="spellStart"/>
            <w:r w:rsidR="004C1292">
              <w:rPr>
                <w:rFonts w:ascii="Times New Roman" w:hAnsi="Times New Roman" w:cs="Times New Roman"/>
                <w:sz w:val="24"/>
                <w:szCs w:val="24"/>
              </w:rPr>
              <w:t>Juni</w:t>
            </w:r>
            <w:proofErr w:type="spellEnd"/>
            <w:r w:rsidR="004C1292">
              <w:rPr>
                <w:rFonts w:ascii="Times New Roman" w:hAnsi="Times New Roman" w:cs="Times New Roman"/>
                <w:sz w:val="24"/>
                <w:szCs w:val="24"/>
              </w:rPr>
              <w:t xml:space="preserve"> </w:t>
            </w:r>
            <w:r>
              <w:rPr>
                <w:rFonts w:ascii="Times New Roman" w:hAnsi="Times New Roman" w:cs="Times New Roman"/>
                <w:sz w:val="24"/>
                <w:szCs w:val="24"/>
              </w:rPr>
              <w:t>2017”</w:t>
            </w:r>
          </w:p>
        </w:tc>
        <w:tc>
          <w:tcPr>
            <w:tcW w:w="4326" w:type="dxa"/>
          </w:tcPr>
          <w:p w:rsidR="001F0462" w:rsidRDefault="00E17412" w:rsidP="004C1292">
            <w:pPr>
              <w:rPr>
                <w:rFonts w:ascii="Times New Roman" w:hAnsi="Times New Roman" w:cs="Times New Roman"/>
                <w:sz w:val="24"/>
                <w:szCs w:val="24"/>
              </w:rPr>
            </w:pPr>
            <w:r>
              <w:rPr>
                <w:rFonts w:ascii="Times New Roman" w:hAnsi="Times New Roman" w:cs="Times New Roman"/>
                <w:sz w:val="24"/>
                <w:szCs w:val="24"/>
              </w:rPr>
              <w:t>„</w:t>
            </w:r>
            <w:r w:rsidR="004C1292">
              <w:rPr>
                <w:rFonts w:ascii="Times New Roman" w:hAnsi="Times New Roman" w:cs="Times New Roman"/>
                <w:sz w:val="24"/>
                <w:szCs w:val="24"/>
              </w:rPr>
              <w:t xml:space="preserve">1. </w:t>
            </w:r>
            <w:proofErr w:type="spellStart"/>
            <w:r w:rsidR="004C1292">
              <w:rPr>
                <w:rFonts w:ascii="Times New Roman" w:hAnsi="Times New Roman" w:cs="Times New Roman"/>
                <w:sz w:val="24"/>
                <w:szCs w:val="24"/>
              </w:rPr>
              <w:t>Januar</w:t>
            </w:r>
            <w:proofErr w:type="spellEnd"/>
            <w:r w:rsidR="004C1292">
              <w:rPr>
                <w:rFonts w:ascii="Times New Roman" w:hAnsi="Times New Roman" w:cs="Times New Roman"/>
                <w:sz w:val="24"/>
                <w:szCs w:val="24"/>
              </w:rPr>
              <w:t xml:space="preserve"> </w:t>
            </w:r>
            <w:r>
              <w:rPr>
                <w:rFonts w:ascii="Times New Roman" w:hAnsi="Times New Roman" w:cs="Times New Roman"/>
                <w:sz w:val="24"/>
                <w:szCs w:val="24"/>
              </w:rPr>
              <w:t>2018”</w:t>
            </w:r>
          </w:p>
        </w:tc>
      </w:tr>
      <w:tr w:rsidR="008C5808" w:rsidTr="00130085">
        <w:tc>
          <w:tcPr>
            <w:tcW w:w="675" w:type="dxa"/>
          </w:tcPr>
          <w:p w:rsidR="002D6C62" w:rsidRPr="004569C6" w:rsidRDefault="002D6C62" w:rsidP="004569C6">
            <w:pPr>
              <w:pStyle w:val="Listaszerbekezds"/>
              <w:numPr>
                <w:ilvl w:val="0"/>
                <w:numId w:val="5"/>
              </w:numPr>
              <w:ind w:right="139"/>
              <w:rPr>
                <w:rFonts w:ascii="Times New Roman" w:hAnsi="Times New Roman" w:cs="Times New Roman"/>
                <w:sz w:val="24"/>
                <w:szCs w:val="24"/>
              </w:rPr>
            </w:pPr>
          </w:p>
        </w:tc>
        <w:tc>
          <w:tcPr>
            <w:tcW w:w="2291" w:type="dxa"/>
          </w:tcPr>
          <w:p w:rsidR="002D6C62" w:rsidRDefault="004C1292" w:rsidP="004C1292">
            <w:pPr>
              <w:rPr>
                <w:rFonts w:ascii="Times New Roman" w:hAnsi="Times New Roman" w:cs="Times New Roman"/>
                <w:sz w:val="24"/>
                <w:szCs w:val="24"/>
              </w:rPr>
            </w:pPr>
            <w:proofErr w:type="spellStart"/>
            <w:r>
              <w:rPr>
                <w:rFonts w:ascii="Times New Roman" w:hAnsi="Times New Roman" w:cs="Times New Roman"/>
                <w:sz w:val="24"/>
                <w:szCs w:val="24"/>
              </w:rPr>
              <w:t>Unterschrift</w:t>
            </w:r>
            <w:proofErr w:type="spellEnd"/>
          </w:p>
        </w:tc>
        <w:tc>
          <w:tcPr>
            <w:tcW w:w="2387" w:type="dxa"/>
          </w:tcPr>
          <w:p w:rsidR="002D6C62" w:rsidRDefault="00E17412" w:rsidP="004C1292">
            <w:pPr>
              <w:rPr>
                <w:rFonts w:ascii="Times New Roman" w:hAnsi="Times New Roman" w:cs="Times New Roman"/>
                <w:sz w:val="24"/>
                <w:szCs w:val="24"/>
              </w:rPr>
            </w:pPr>
            <w:r>
              <w:rPr>
                <w:rFonts w:ascii="Times New Roman" w:hAnsi="Times New Roman" w:cs="Times New Roman"/>
                <w:sz w:val="24"/>
                <w:szCs w:val="24"/>
              </w:rPr>
              <w:t>„</w:t>
            </w:r>
            <w:r w:rsidR="004C1292">
              <w:rPr>
                <w:rFonts w:ascii="Times New Roman" w:hAnsi="Times New Roman" w:cs="Times New Roman"/>
                <w:sz w:val="24"/>
                <w:szCs w:val="24"/>
              </w:rPr>
              <w:t xml:space="preserve">Miklós </w:t>
            </w:r>
            <w:r>
              <w:rPr>
                <w:rFonts w:ascii="Times New Roman" w:hAnsi="Times New Roman" w:cs="Times New Roman"/>
                <w:sz w:val="24"/>
                <w:szCs w:val="24"/>
              </w:rPr>
              <w:t>Mayer”</w:t>
            </w:r>
          </w:p>
        </w:tc>
        <w:tc>
          <w:tcPr>
            <w:tcW w:w="4326" w:type="dxa"/>
          </w:tcPr>
          <w:p w:rsidR="002D6C62" w:rsidRDefault="00E17412" w:rsidP="004C1292">
            <w:pPr>
              <w:rPr>
                <w:rFonts w:ascii="Times New Roman" w:hAnsi="Times New Roman" w:cs="Times New Roman"/>
                <w:sz w:val="24"/>
                <w:szCs w:val="24"/>
              </w:rPr>
            </w:pPr>
            <w:r>
              <w:rPr>
                <w:rFonts w:ascii="Times New Roman" w:hAnsi="Times New Roman" w:cs="Times New Roman"/>
                <w:sz w:val="24"/>
                <w:szCs w:val="24"/>
              </w:rPr>
              <w:t>„</w:t>
            </w:r>
            <w:r w:rsidR="004C1292">
              <w:rPr>
                <w:rFonts w:ascii="Times New Roman" w:hAnsi="Times New Roman" w:cs="Times New Roman"/>
                <w:sz w:val="24"/>
                <w:szCs w:val="24"/>
              </w:rPr>
              <w:t xml:space="preserve">Anna </w:t>
            </w:r>
            <w:r>
              <w:rPr>
                <w:rFonts w:ascii="Times New Roman" w:hAnsi="Times New Roman" w:cs="Times New Roman"/>
                <w:sz w:val="24"/>
                <w:szCs w:val="24"/>
              </w:rPr>
              <w:t>Czakó Kovács”</w:t>
            </w:r>
          </w:p>
        </w:tc>
      </w:tr>
    </w:tbl>
    <w:p w:rsidR="002D6C62" w:rsidRDefault="002D6C62" w:rsidP="00E17412">
      <w:pPr>
        <w:spacing w:after="0"/>
        <w:rPr>
          <w:rFonts w:ascii="Times New Roman" w:hAnsi="Times New Roman" w:cs="Times New Roman"/>
          <w:sz w:val="24"/>
          <w:szCs w:val="24"/>
        </w:rPr>
      </w:pPr>
    </w:p>
    <w:p w:rsidR="00E17412" w:rsidRDefault="00E17412" w:rsidP="00E17412">
      <w:pPr>
        <w:spacing w:after="0"/>
        <w:rPr>
          <w:rFonts w:ascii="Times New Roman" w:hAnsi="Times New Roman" w:cs="Times New Roman"/>
          <w:sz w:val="24"/>
          <w:szCs w:val="24"/>
        </w:rPr>
      </w:pPr>
    </w:p>
    <w:p w:rsidR="002D6C62" w:rsidRDefault="002D6C62" w:rsidP="00E17412">
      <w:pPr>
        <w:spacing w:after="0"/>
        <w:rPr>
          <w:rFonts w:ascii="Times New Roman" w:hAnsi="Times New Roman" w:cs="Times New Roman"/>
          <w:sz w:val="24"/>
          <w:szCs w:val="24"/>
        </w:rPr>
      </w:pPr>
      <w:r>
        <w:rPr>
          <w:rFonts w:ascii="Times New Roman" w:hAnsi="Times New Roman" w:cs="Times New Roman"/>
          <w:sz w:val="24"/>
          <w:szCs w:val="24"/>
        </w:rPr>
        <w:t xml:space="preserve">Budapest, </w:t>
      </w:r>
      <w:r w:rsidR="00216A41">
        <w:rPr>
          <w:rFonts w:ascii="Times New Roman" w:hAnsi="Times New Roman" w:cs="Times New Roman"/>
          <w:sz w:val="24"/>
          <w:szCs w:val="24"/>
        </w:rPr>
        <w:t>den</w:t>
      </w:r>
      <w:r w:rsidR="000D4DE4">
        <w:rPr>
          <w:rFonts w:ascii="Times New Roman" w:hAnsi="Times New Roman" w:cs="Times New Roman"/>
          <w:sz w:val="24"/>
          <w:szCs w:val="24"/>
        </w:rPr>
        <w:t xml:space="preserve"> </w:t>
      </w:r>
      <w:r w:rsidR="00596BFD">
        <w:rPr>
          <w:rFonts w:ascii="Times New Roman" w:hAnsi="Times New Roman" w:cs="Times New Roman"/>
          <w:sz w:val="24"/>
          <w:szCs w:val="24"/>
        </w:rPr>
        <w:t xml:space="preserve">15. </w:t>
      </w:r>
      <w:proofErr w:type="spellStart"/>
      <w:r w:rsidR="00596BFD">
        <w:rPr>
          <w:rFonts w:ascii="Times New Roman" w:hAnsi="Times New Roman" w:cs="Times New Roman"/>
          <w:sz w:val="24"/>
          <w:szCs w:val="24"/>
        </w:rPr>
        <w:t>Dezember</w:t>
      </w:r>
      <w:proofErr w:type="spellEnd"/>
      <w:r w:rsidR="00596BFD">
        <w:rPr>
          <w:rFonts w:ascii="Times New Roman" w:hAnsi="Times New Roman" w:cs="Times New Roman"/>
          <w:sz w:val="24"/>
          <w:szCs w:val="24"/>
        </w:rPr>
        <w:t xml:space="preserve"> </w:t>
      </w:r>
      <w:r>
        <w:rPr>
          <w:rFonts w:ascii="Times New Roman" w:hAnsi="Times New Roman" w:cs="Times New Roman"/>
          <w:sz w:val="24"/>
          <w:szCs w:val="24"/>
        </w:rPr>
        <w:t>2017.</w:t>
      </w:r>
    </w:p>
    <w:p w:rsidR="00E17412" w:rsidRDefault="00E17412" w:rsidP="00E17412">
      <w:pPr>
        <w:spacing w:after="0"/>
        <w:rPr>
          <w:rFonts w:ascii="Times New Roman" w:hAnsi="Times New Roman" w:cs="Times New Roman"/>
          <w:sz w:val="24"/>
          <w:szCs w:val="24"/>
        </w:rPr>
      </w:pPr>
    </w:p>
    <w:p w:rsidR="00E17412" w:rsidRDefault="00E17412" w:rsidP="00E1741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Czakóné Kovács Anna</w:t>
      </w:r>
    </w:p>
    <w:p w:rsidR="00E17412" w:rsidRDefault="00596BFD" w:rsidP="00E1741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Generaldirektorin</w:t>
      </w:r>
      <w:proofErr w:type="spellEnd"/>
    </w:p>
    <w:p w:rsidR="00E17412" w:rsidRPr="005435B1" w:rsidRDefault="00596BFD" w:rsidP="00E1741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E17412">
        <w:rPr>
          <w:rFonts w:ascii="Times New Roman" w:hAnsi="Times New Roman" w:cs="Times New Roman"/>
          <w:sz w:val="24"/>
          <w:szCs w:val="24"/>
        </w:rPr>
        <w:t xml:space="preserve">ROYAL SPED </w:t>
      </w:r>
      <w:proofErr w:type="spellStart"/>
      <w:r w:rsidR="00E17412">
        <w:rPr>
          <w:rFonts w:ascii="Times New Roman" w:hAnsi="Times New Roman" w:cs="Times New Roman"/>
          <w:sz w:val="24"/>
          <w:szCs w:val="24"/>
        </w:rPr>
        <w:t>Zrt</w:t>
      </w:r>
      <w:proofErr w:type="spellEnd"/>
      <w:r w:rsidR="00E17412">
        <w:rPr>
          <w:rFonts w:ascii="Times New Roman" w:hAnsi="Times New Roman" w:cs="Times New Roman"/>
          <w:sz w:val="24"/>
          <w:szCs w:val="24"/>
        </w:rPr>
        <w:t>.</w:t>
      </w:r>
    </w:p>
    <w:p w:rsidR="005435B1" w:rsidRPr="005435B1" w:rsidRDefault="005435B1" w:rsidP="00E17412">
      <w:pPr>
        <w:spacing w:after="0"/>
        <w:rPr>
          <w:rFonts w:ascii="Times New Roman" w:hAnsi="Times New Roman" w:cs="Times New Roman"/>
          <w:sz w:val="24"/>
          <w:szCs w:val="24"/>
        </w:rPr>
      </w:pPr>
    </w:p>
    <w:p w:rsidR="005435B1" w:rsidRPr="005435B1" w:rsidRDefault="005435B1" w:rsidP="00E17412">
      <w:pPr>
        <w:spacing w:after="0"/>
        <w:rPr>
          <w:rFonts w:ascii="Times New Roman" w:hAnsi="Times New Roman" w:cs="Times New Roman"/>
          <w:sz w:val="24"/>
          <w:szCs w:val="24"/>
        </w:rPr>
      </w:pPr>
    </w:p>
    <w:sectPr w:rsidR="005435B1" w:rsidRPr="0054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D71"/>
    <w:multiLevelType w:val="hybridMultilevel"/>
    <w:tmpl w:val="36388F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7B47ED"/>
    <w:multiLevelType w:val="hybridMultilevel"/>
    <w:tmpl w:val="AE8A8AA0"/>
    <w:lvl w:ilvl="0" w:tplc="AD0E9702">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13F8505E"/>
    <w:multiLevelType w:val="hybridMultilevel"/>
    <w:tmpl w:val="BD9A3FE0"/>
    <w:lvl w:ilvl="0" w:tplc="AD0E9702">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F62265B"/>
    <w:multiLevelType w:val="hybridMultilevel"/>
    <w:tmpl w:val="350C91B4"/>
    <w:lvl w:ilvl="0" w:tplc="89365988">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B95D5B"/>
    <w:multiLevelType w:val="hybridMultilevel"/>
    <w:tmpl w:val="09CAF2EC"/>
    <w:lvl w:ilvl="0" w:tplc="89365988">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0E1F7D"/>
    <w:multiLevelType w:val="hybridMultilevel"/>
    <w:tmpl w:val="719E5924"/>
    <w:lvl w:ilvl="0" w:tplc="040E000F">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2E6A46"/>
    <w:multiLevelType w:val="hybridMultilevel"/>
    <w:tmpl w:val="B14C4B1C"/>
    <w:lvl w:ilvl="0" w:tplc="89365988">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360725C"/>
    <w:multiLevelType w:val="hybridMultilevel"/>
    <w:tmpl w:val="F0E08B0A"/>
    <w:lvl w:ilvl="0" w:tplc="040E000F">
      <w:start w:val="1"/>
      <w:numFmt w:val="decimal"/>
      <w:lvlText w:val="%1."/>
      <w:lvlJc w:val="left"/>
      <w:pPr>
        <w:ind w:left="388" w:hanging="360"/>
      </w:pPr>
    </w:lvl>
    <w:lvl w:ilvl="1" w:tplc="040E0019" w:tentative="1">
      <w:start w:val="1"/>
      <w:numFmt w:val="lowerLetter"/>
      <w:lvlText w:val="%2."/>
      <w:lvlJc w:val="left"/>
      <w:pPr>
        <w:ind w:left="1108" w:hanging="360"/>
      </w:pPr>
    </w:lvl>
    <w:lvl w:ilvl="2" w:tplc="040E001B" w:tentative="1">
      <w:start w:val="1"/>
      <w:numFmt w:val="lowerRoman"/>
      <w:lvlText w:val="%3."/>
      <w:lvlJc w:val="right"/>
      <w:pPr>
        <w:ind w:left="1828" w:hanging="180"/>
      </w:pPr>
    </w:lvl>
    <w:lvl w:ilvl="3" w:tplc="040E000F" w:tentative="1">
      <w:start w:val="1"/>
      <w:numFmt w:val="decimal"/>
      <w:lvlText w:val="%4."/>
      <w:lvlJc w:val="left"/>
      <w:pPr>
        <w:ind w:left="2548" w:hanging="360"/>
      </w:pPr>
    </w:lvl>
    <w:lvl w:ilvl="4" w:tplc="040E0019" w:tentative="1">
      <w:start w:val="1"/>
      <w:numFmt w:val="lowerLetter"/>
      <w:lvlText w:val="%5."/>
      <w:lvlJc w:val="left"/>
      <w:pPr>
        <w:ind w:left="3268" w:hanging="360"/>
      </w:pPr>
    </w:lvl>
    <w:lvl w:ilvl="5" w:tplc="040E001B" w:tentative="1">
      <w:start w:val="1"/>
      <w:numFmt w:val="lowerRoman"/>
      <w:lvlText w:val="%6."/>
      <w:lvlJc w:val="right"/>
      <w:pPr>
        <w:ind w:left="3988" w:hanging="180"/>
      </w:pPr>
    </w:lvl>
    <w:lvl w:ilvl="6" w:tplc="040E000F" w:tentative="1">
      <w:start w:val="1"/>
      <w:numFmt w:val="decimal"/>
      <w:lvlText w:val="%7."/>
      <w:lvlJc w:val="left"/>
      <w:pPr>
        <w:ind w:left="4708" w:hanging="360"/>
      </w:pPr>
    </w:lvl>
    <w:lvl w:ilvl="7" w:tplc="040E0019" w:tentative="1">
      <w:start w:val="1"/>
      <w:numFmt w:val="lowerLetter"/>
      <w:lvlText w:val="%8."/>
      <w:lvlJc w:val="left"/>
      <w:pPr>
        <w:ind w:left="5428" w:hanging="360"/>
      </w:pPr>
    </w:lvl>
    <w:lvl w:ilvl="8" w:tplc="040E001B" w:tentative="1">
      <w:start w:val="1"/>
      <w:numFmt w:val="lowerRoman"/>
      <w:lvlText w:val="%9."/>
      <w:lvlJc w:val="right"/>
      <w:pPr>
        <w:ind w:left="6148" w:hanging="180"/>
      </w:pPr>
    </w:lvl>
  </w:abstractNum>
  <w:abstractNum w:abstractNumId="8" w15:restartNumberingAfterBreak="0">
    <w:nsid w:val="7CFA692A"/>
    <w:multiLevelType w:val="hybridMultilevel"/>
    <w:tmpl w:val="9490D538"/>
    <w:lvl w:ilvl="0" w:tplc="FE1E5DC0">
      <w:start w:val="7"/>
      <w:numFmt w:val="decimal"/>
      <w:lvlText w:val="%1."/>
      <w:lvlJc w:val="left"/>
      <w:pPr>
        <w:ind w:left="5400" w:hanging="360"/>
      </w:pPr>
      <w:rPr>
        <w:rFonts w:hint="default"/>
      </w:rPr>
    </w:lvl>
    <w:lvl w:ilvl="1" w:tplc="0809000F">
      <w:start w:val="1"/>
      <w:numFmt w:val="decimal"/>
      <w:lvlText w:val="%2."/>
      <w:lvlJc w:val="left"/>
      <w:pPr>
        <w:ind w:left="6120" w:hanging="360"/>
      </w:pPr>
    </w:lvl>
    <w:lvl w:ilvl="2" w:tplc="0809001B" w:tentative="1">
      <w:start w:val="1"/>
      <w:numFmt w:val="lowerRoman"/>
      <w:lvlText w:val="%3."/>
      <w:lvlJc w:val="right"/>
      <w:pPr>
        <w:ind w:left="6840" w:hanging="180"/>
      </w:pPr>
    </w:lvl>
    <w:lvl w:ilvl="3" w:tplc="0809000F">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7DF317BE"/>
    <w:multiLevelType w:val="hybridMultilevel"/>
    <w:tmpl w:val="FE4A10A0"/>
    <w:lvl w:ilvl="0" w:tplc="9FBEA478">
      <w:start w:val="5"/>
      <w:numFmt w:val="decimal"/>
      <w:lvlText w:val="%1."/>
      <w:lvlJc w:val="left"/>
      <w:pPr>
        <w:ind w:left="36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num w:numId="1">
    <w:abstractNumId w:val="0"/>
  </w:num>
  <w:num w:numId="2">
    <w:abstractNumId w:val="3"/>
  </w:num>
  <w:num w:numId="3">
    <w:abstractNumId w:val="6"/>
  </w:num>
  <w:num w:numId="4">
    <w:abstractNumId w:val="7"/>
  </w:num>
  <w:num w:numId="5">
    <w:abstractNumId w:val="5"/>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53D3A"/>
    <w:rsid w:val="000D4DE4"/>
    <w:rsid w:val="00130085"/>
    <w:rsid w:val="001F0462"/>
    <w:rsid w:val="00216A41"/>
    <w:rsid w:val="002B7585"/>
    <w:rsid w:val="002D6C62"/>
    <w:rsid w:val="002F0B91"/>
    <w:rsid w:val="00383462"/>
    <w:rsid w:val="00412B32"/>
    <w:rsid w:val="00437139"/>
    <w:rsid w:val="00451480"/>
    <w:rsid w:val="00452CCE"/>
    <w:rsid w:val="004569C6"/>
    <w:rsid w:val="004604A9"/>
    <w:rsid w:val="004748FC"/>
    <w:rsid w:val="004C1292"/>
    <w:rsid w:val="00511201"/>
    <w:rsid w:val="005435B1"/>
    <w:rsid w:val="00591C31"/>
    <w:rsid w:val="00596BFD"/>
    <w:rsid w:val="00640AEA"/>
    <w:rsid w:val="006732B8"/>
    <w:rsid w:val="006F37BD"/>
    <w:rsid w:val="00850BEA"/>
    <w:rsid w:val="00880105"/>
    <w:rsid w:val="008C5808"/>
    <w:rsid w:val="00963C77"/>
    <w:rsid w:val="009C1E36"/>
    <w:rsid w:val="00A43B49"/>
    <w:rsid w:val="00B708FC"/>
    <w:rsid w:val="00B9786A"/>
    <w:rsid w:val="00D44978"/>
    <w:rsid w:val="00E17412"/>
    <w:rsid w:val="00EF134B"/>
    <w:rsid w:val="00EF4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0565-5CCB-46B1-AB5E-AEA9953C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2D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D6C62"/>
    <w:pPr>
      <w:ind w:left="720"/>
      <w:contextualSpacing/>
    </w:pPr>
  </w:style>
  <w:style w:type="character" w:styleId="Hiperhivatkozs">
    <w:name w:val="Hyperlink"/>
    <w:basedOn w:val="Bekezdsalapbettpusa"/>
    <w:uiPriority w:val="99"/>
    <w:unhideWhenUsed/>
    <w:rsid w:val="002D6C62"/>
    <w:rPr>
      <w:color w:val="0563C1" w:themeColor="hyperlink"/>
      <w:u w:val="single"/>
    </w:rPr>
  </w:style>
  <w:style w:type="paragraph" w:styleId="Szvegtrzs2">
    <w:name w:val="Body Text 2"/>
    <w:basedOn w:val="Norml"/>
    <w:link w:val="Szvegtrzs2Char"/>
    <w:uiPriority w:val="99"/>
    <w:rsid w:val="001F0462"/>
    <w:pPr>
      <w:spacing w:after="120" w:line="480" w:lineRule="auto"/>
    </w:pPr>
    <w:rPr>
      <w:rFonts w:ascii="Calibri" w:eastAsia="Calibri" w:hAnsi="Calibri" w:cs="Times New Roman"/>
    </w:rPr>
  </w:style>
  <w:style w:type="character" w:customStyle="1" w:styleId="Szvegtrzs2Char">
    <w:name w:val="Szövegtörzs 2 Char"/>
    <w:basedOn w:val="Bekezdsalapbettpusa"/>
    <w:link w:val="Szvegtrzs2"/>
    <w:uiPriority w:val="99"/>
    <w:rsid w:val="001F04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sped.hu" TargetMode="External"/><Relationship Id="rId5" Type="http://schemas.openxmlformats.org/officeDocument/2006/relationships/hyperlink" Target="http://www.royalsped.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448</Words>
  <Characters>2558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Sped1</dc:creator>
  <cp:keywords/>
  <dc:description/>
  <cp:lastModifiedBy>Gordos Beáta</cp:lastModifiedBy>
  <cp:revision>84</cp:revision>
  <dcterms:created xsi:type="dcterms:W3CDTF">2017-12-19T10:42:00Z</dcterms:created>
  <dcterms:modified xsi:type="dcterms:W3CDTF">2017-12-21T10:17:00Z</dcterms:modified>
</cp:coreProperties>
</file>